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b w:val="0"/>
          <w:bCs w:val="0"/>
          <w:sz w:val="32"/>
          <w:szCs w:val="32"/>
          <w:lang w:val="en-US" w:eastAsia="zh-CN"/>
        </w:rPr>
      </w:pPr>
      <w:bookmarkStart w:id="0" w:name="_GoBack"/>
      <w:bookmarkEnd w:id="0"/>
      <w:r>
        <w:rPr>
          <w:rFonts w:hint="eastAsia" w:ascii="方正黑体_GBK" w:hAnsi="方正黑体_GBK" w:eastAsia="方正黑体_GBK" w:cs="方正黑体_GBK"/>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纳统工作相关责任部门</w:t>
      </w:r>
    </w:p>
    <w:tbl>
      <w:tblPr>
        <w:tblStyle w:val="7"/>
        <w:tblW w:w="1020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1714"/>
        <w:gridCol w:w="84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b w:val="0"/>
                <w:bCs w:val="0"/>
                <w:sz w:val="24"/>
                <w:szCs w:val="24"/>
                <w:highlight w:val="none"/>
                <w:vertAlign w:val="baseline"/>
                <w:lang w:val="en-US" w:eastAsia="zh-CN"/>
              </w:rPr>
            </w:pPr>
            <w:r>
              <w:rPr>
                <w:rFonts w:hint="eastAsia" w:ascii="方正黑体_GBK" w:hAnsi="方正黑体_GBK" w:eastAsia="方正黑体_GBK" w:cs="方正黑体_GBK"/>
                <w:b w:val="0"/>
                <w:bCs w:val="0"/>
                <w:sz w:val="24"/>
                <w:szCs w:val="24"/>
                <w:highlight w:val="none"/>
                <w:vertAlign w:val="baseline"/>
                <w:lang w:val="en-US" w:eastAsia="zh-CN"/>
              </w:rPr>
              <w:t>相关责任部门</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b w:val="0"/>
                <w:bCs w:val="0"/>
                <w:sz w:val="24"/>
                <w:szCs w:val="24"/>
                <w:highlight w:val="none"/>
                <w:vertAlign w:val="baseline"/>
                <w:lang w:val="en-US" w:eastAsia="zh-CN"/>
              </w:rPr>
            </w:pPr>
            <w:r>
              <w:rPr>
                <w:rFonts w:hint="eastAsia" w:ascii="方正黑体_GBK" w:hAnsi="方正黑体_GBK" w:eastAsia="方正黑体_GBK" w:cs="方正黑体_GBK"/>
                <w:b w:val="0"/>
                <w:bCs w:val="0"/>
                <w:sz w:val="24"/>
                <w:szCs w:val="24"/>
                <w:highlight w:val="none"/>
                <w:vertAlign w:val="baseline"/>
                <w:lang w:val="en-US" w:eastAsia="zh-CN"/>
              </w:rPr>
              <w:t>负责行业（领域）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市发改委</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牵头营利性服务业企业入统</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牵头固定资产投资项目入统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市工信局</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负责工业、互联网和相关服务、软件和信息技术服务业企业入统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市住建局</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负责有资质的建筑业企业、有开发经营活动的房地产开发企业、物业管理业企业、房地产中介服务业企业入统</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负责科学研究和技术服务业中涉及本领域的企业入统（配合市科技局）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负责水利、环境和公共设施管理业中涉及本领域的单位劳动工资数据填报（配合市财政局）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市商务局</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负责批发和零售业、住宿和餐饮业企业入统</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牵头做好租赁和商务服务业企业入统</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负责居民服务、修理和其他服务业中涉及本领域的企业入统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市农业农村局</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负责种植业、畜牧业、渔业新型农业经营主体</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配合做好粮食生产、畜禽监测、特色农产品统计调查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市交通运输局</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负责道路运输业、水上运输业、多式联运和运输代理业企业入统</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协调装卸搬运和仓储业、邮政业企业入统（协调市粮储局、市邮政管理局等部门）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市教育局</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负责教育行业单位入统</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负责本行业行政事业单位劳动工资数据填报（配合市财政局）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市卫健委</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负责卫生行业单位入统</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负责本行业行政事业单位劳动工资数据填报（配合市财政局）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市民政局</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负责居民服务、修理和其他服务业中涉及本领域的企业入统</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负责本行业行政事业单位劳动工资数据填报（配合市财政局）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市财政局</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牵头组织行政事业单位开展劳动工资数据填报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市人社局</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负责租赁和商务服务业中涉及本领域的企业入统（配合市商务局）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负责非营利性服务业中人力资源企业入统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市科技局</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牵头做好科学研究和技术服务业企业入统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w:t>
            </w:r>
            <w:r>
              <w:rPr>
                <w:rFonts w:hint="eastAsia" w:ascii="方正仿宋_GBK" w:hAnsi="方正仿宋_GBK" w:eastAsia="方正仿宋_GBK" w:cs="方正仿宋_GBK"/>
                <w:b w:val="0"/>
                <w:bCs w:val="0"/>
                <w:sz w:val="24"/>
                <w:szCs w:val="24"/>
                <w:highlight w:val="none"/>
                <w:lang w:val="en-US" w:eastAsia="zh-CN"/>
              </w:rPr>
              <w:t>文广旅局</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牵头做好文化、体育和娱乐业企业入统</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负责租赁和商务服务业中涉及本领域的企业入统（配合市商务局）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市体育局</w:t>
            </w:r>
          </w:p>
        </w:tc>
        <w:tc>
          <w:tcPr>
            <w:tcW w:w="84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kern w:val="2"/>
                <w:sz w:val="24"/>
                <w:szCs w:val="24"/>
                <w:highlight w:val="none"/>
                <w:vertAlign w:val="baseline"/>
                <w:lang w:val="en-US" w:eastAsia="zh-CN" w:bidi="ar-SA"/>
              </w:rPr>
            </w:pPr>
            <w:r>
              <w:rPr>
                <w:rFonts w:hint="eastAsia" w:ascii="方正仿宋_GBK" w:hAnsi="方正仿宋_GBK" w:eastAsia="方正仿宋_GBK" w:cs="方正仿宋_GBK"/>
                <w:b w:val="0"/>
                <w:bCs w:val="0"/>
                <w:sz w:val="24"/>
                <w:szCs w:val="24"/>
                <w:highlight w:val="none"/>
                <w:vertAlign w:val="baseline"/>
                <w:lang w:val="en-US" w:eastAsia="zh-CN"/>
              </w:rPr>
              <w:t>负责文化、体育和娱乐业中涉及本领域的企业入统（配合市文广旅局）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市委宣传部</w:t>
            </w:r>
          </w:p>
        </w:tc>
        <w:tc>
          <w:tcPr>
            <w:tcW w:w="84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负责文化、体育和娱乐业中涉及本领域的企业入统（配合市文广旅局）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市自然资源局</w:t>
            </w:r>
          </w:p>
        </w:tc>
        <w:tc>
          <w:tcPr>
            <w:tcW w:w="84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负责非营利性服务业中土地管理业企业入统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市生态环境局</w:t>
            </w:r>
          </w:p>
        </w:tc>
        <w:tc>
          <w:tcPr>
            <w:tcW w:w="84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负责非营利性服务业中生态保护和环境治理业企业入统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市水务局</w:t>
            </w:r>
          </w:p>
        </w:tc>
        <w:tc>
          <w:tcPr>
            <w:tcW w:w="84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负责非营利性服务业中水利管理业企业入统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市城市管理综合执法局</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负责非营利性服务业中公共设施管理业涉及本领域的企业入统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市粮储局</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负责装卸搬运和仓储业企业入统（配合市交通运输局）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市邮政管理局</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负责邮政业企业入统（配合市交通运输局）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市林草局</w:t>
            </w:r>
          </w:p>
        </w:tc>
        <w:tc>
          <w:tcPr>
            <w:tcW w:w="84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b w:val="0"/>
                <w:bCs w:val="0"/>
                <w:sz w:val="24"/>
                <w:szCs w:val="24"/>
                <w:highlight w:val="none"/>
                <w:vertAlign w:val="baseline"/>
                <w:lang w:val="en-US" w:eastAsia="zh-CN"/>
              </w:rPr>
            </w:pPr>
            <w:r>
              <w:rPr>
                <w:rFonts w:hint="eastAsia" w:ascii="方正仿宋_GBK" w:hAnsi="方正仿宋_GBK" w:eastAsia="方正仿宋_GBK" w:cs="方正仿宋_GBK"/>
                <w:b w:val="0"/>
                <w:bCs w:val="0"/>
                <w:sz w:val="24"/>
                <w:szCs w:val="24"/>
                <w:highlight w:val="none"/>
                <w:vertAlign w:val="baseline"/>
                <w:lang w:val="en-US" w:eastAsia="zh-CN"/>
              </w:rPr>
              <w:t>配合做好涉林企业统计调查工作</w:t>
            </w:r>
          </w:p>
        </w:tc>
      </w:tr>
    </w:tbl>
    <w:p>
      <w:pPr>
        <w:keepNext w:val="0"/>
        <w:keepLines w:val="0"/>
        <w:pageBreakBefore w:val="0"/>
        <w:widowControl w:val="0"/>
        <w:kinsoku/>
        <w:wordWrap/>
        <w:overflowPunct/>
        <w:topLinePunct w:val="0"/>
        <w:autoSpaceDE/>
        <w:autoSpaceDN/>
        <w:bidi w:val="0"/>
        <w:adjustRightInd/>
        <w:snapToGrid w:val="0"/>
        <w:spacing w:line="240" w:lineRule="auto"/>
        <w:ind w:left="281" w:leftChars="-95" w:hanging="480" w:hangingChars="200"/>
        <w:textAlignment w:val="auto"/>
        <w:rPr>
          <w:rFonts w:hint="eastAsia" w:ascii="方正楷体_GBK" w:hAnsi="方正楷体_GBK" w:eastAsia="方正楷体_GBK" w:cs="方正楷体_GBK"/>
          <w:b w:val="0"/>
          <w:bCs w:val="0"/>
          <w:sz w:val="24"/>
          <w:szCs w:val="24"/>
          <w:highlight w:val="none"/>
          <w:lang w:val="en-US" w:eastAsia="zh-CN"/>
        </w:rPr>
      </w:pPr>
      <w:r>
        <w:rPr>
          <w:rFonts w:hint="eastAsia" w:ascii="方正楷体_GBK" w:hAnsi="方正楷体_GBK" w:eastAsia="方正楷体_GBK" w:cs="方正楷体_GBK"/>
          <w:b w:val="0"/>
          <w:bCs w:val="0"/>
          <w:sz w:val="24"/>
          <w:szCs w:val="24"/>
          <w:highlight w:val="none"/>
          <w:lang w:val="en-US" w:eastAsia="zh-CN"/>
        </w:rPr>
        <w:t>注：上述部门需配合市发改委做好本行业（领域）固定资产投资项目线索收集提供和入统工作。</w:t>
      </w:r>
    </w:p>
    <w:p>
      <w:pPr>
        <w:rPr>
          <w:rFonts w:hint="eastAsia" w:ascii="方正仿宋_GBK" w:hAnsi="方正仿宋_GBK" w:eastAsia="方正仿宋_GBK" w:cs="方正仿宋_GBK"/>
          <w:b w:val="0"/>
          <w:bCs w:val="0"/>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方正仿宋_GBK" w:hAnsi="方正仿宋_GBK" w:eastAsia="方正仿宋_GBK" w:cs="方正仿宋_GBK"/>
          <w:b w:val="0"/>
          <w:bCs w:val="0"/>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p>
    <w:p>
      <w:pPr>
        <w:keepNext w:val="0"/>
        <w:keepLines w:val="0"/>
        <w:pageBreakBefore w:val="0"/>
        <w:widowControl w:val="0"/>
        <w:tabs>
          <w:tab w:val="left" w:pos="651"/>
        </w:tabs>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“四上”企业统计标准</w:t>
      </w:r>
    </w:p>
    <w:tbl>
      <w:tblPr>
        <w:tblStyle w:val="7"/>
        <w:tblW w:w="14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766"/>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3323" w:type="dxa"/>
            <w:gridSpan w:val="2"/>
            <w:tcBorders>
              <w:left w:val="nil"/>
            </w:tcBorders>
            <w:vAlign w:val="center"/>
          </w:tcPr>
          <w:p>
            <w:pPr>
              <w:snapToGrid w:val="0"/>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统计专业</w:t>
            </w:r>
          </w:p>
        </w:tc>
        <w:tc>
          <w:tcPr>
            <w:tcW w:w="10773" w:type="dxa"/>
            <w:tcBorders>
              <w:right w:val="nil"/>
            </w:tcBorders>
            <w:vAlign w:val="center"/>
          </w:tcPr>
          <w:p>
            <w:pPr>
              <w:snapToGrid w:val="0"/>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“四上”企业统计标准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323" w:type="dxa"/>
            <w:gridSpan w:val="2"/>
            <w:tcBorders>
              <w:left w:val="nil"/>
            </w:tcBorders>
            <w:vAlign w:val="center"/>
          </w:tcPr>
          <w:p>
            <w:pPr>
              <w:snapToGrid w:val="0"/>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工业</w:t>
            </w:r>
          </w:p>
        </w:tc>
        <w:tc>
          <w:tcPr>
            <w:tcW w:w="10773" w:type="dxa"/>
            <w:tcBorders>
              <w:right w:val="nil"/>
            </w:tcBorders>
            <w:vAlign w:val="center"/>
          </w:tcPr>
          <w:p>
            <w:pPr>
              <w:snapToGrid w:val="0"/>
              <w:jc w:val="left"/>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年主营业务收入达到2000万元及以上工业法人企业。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57" w:type="dxa"/>
            <w:vMerge w:val="restart"/>
            <w:tcBorders>
              <w:left w:val="nil"/>
            </w:tcBorders>
            <w:vAlign w:val="center"/>
          </w:tcPr>
          <w:p>
            <w:pPr>
              <w:snapToGrid w:val="0"/>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贸易</w:t>
            </w:r>
          </w:p>
        </w:tc>
        <w:tc>
          <w:tcPr>
            <w:tcW w:w="1766" w:type="dxa"/>
            <w:vAlign w:val="center"/>
          </w:tcPr>
          <w:p>
            <w:pPr>
              <w:snapToGrid w:val="0"/>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批发业</w:t>
            </w:r>
          </w:p>
        </w:tc>
        <w:tc>
          <w:tcPr>
            <w:tcW w:w="10773" w:type="dxa"/>
            <w:tcBorders>
              <w:right w:val="nil"/>
            </w:tcBorders>
            <w:vAlign w:val="center"/>
          </w:tcPr>
          <w:p>
            <w:pPr>
              <w:snapToGrid w:val="0"/>
              <w:jc w:val="left"/>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年主营业务收入达到2000万元及以上的批发业法人企业和产业活动单位（个体户）。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57" w:type="dxa"/>
            <w:vMerge w:val="continue"/>
            <w:tcBorders>
              <w:left w:val="nil"/>
            </w:tcBorders>
            <w:vAlign w:val="center"/>
          </w:tcPr>
          <w:p>
            <w:pPr>
              <w:snapToGrid w:val="0"/>
              <w:jc w:val="center"/>
              <w:rPr>
                <w:rFonts w:hint="eastAsia" w:ascii="方正黑体_GBK" w:hAnsi="方正黑体_GBK" w:eastAsia="方正黑体_GBK" w:cs="方正黑体_GBK"/>
                <w:b w:val="0"/>
                <w:bCs w:val="0"/>
                <w:kern w:val="0"/>
                <w:sz w:val="24"/>
                <w:szCs w:val="24"/>
              </w:rPr>
            </w:pPr>
          </w:p>
        </w:tc>
        <w:tc>
          <w:tcPr>
            <w:tcW w:w="1766" w:type="dxa"/>
            <w:vAlign w:val="center"/>
          </w:tcPr>
          <w:p>
            <w:pPr>
              <w:snapToGrid w:val="0"/>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零售业</w:t>
            </w:r>
          </w:p>
        </w:tc>
        <w:tc>
          <w:tcPr>
            <w:tcW w:w="10773" w:type="dxa"/>
            <w:tcBorders>
              <w:right w:val="nil"/>
            </w:tcBorders>
            <w:vAlign w:val="center"/>
          </w:tcPr>
          <w:p>
            <w:pPr>
              <w:snapToGrid w:val="0"/>
              <w:jc w:val="left"/>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年主营业务收入达到500万元及以上的零售业法人企业和产业活动单位（个体户）。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57" w:type="dxa"/>
            <w:vMerge w:val="continue"/>
            <w:tcBorders>
              <w:left w:val="nil"/>
            </w:tcBorders>
            <w:vAlign w:val="center"/>
          </w:tcPr>
          <w:p>
            <w:pPr>
              <w:snapToGrid w:val="0"/>
              <w:jc w:val="center"/>
              <w:rPr>
                <w:rFonts w:hint="eastAsia" w:ascii="方正黑体_GBK" w:hAnsi="方正黑体_GBK" w:eastAsia="方正黑体_GBK" w:cs="方正黑体_GBK"/>
                <w:b w:val="0"/>
                <w:bCs w:val="0"/>
                <w:kern w:val="0"/>
                <w:sz w:val="24"/>
                <w:szCs w:val="24"/>
              </w:rPr>
            </w:pPr>
          </w:p>
        </w:tc>
        <w:tc>
          <w:tcPr>
            <w:tcW w:w="1766" w:type="dxa"/>
            <w:vAlign w:val="center"/>
          </w:tcPr>
          <w:p>
            <w:pPr>
              <w:snapToGrid w:val="0"/>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住宿业</w:t>
            </w:r>
          </w:p>
          <w:p>
            <w:pPr>
              <w:snapToGrid w:val="0"/>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餐饮业</w:t>
            </w:r>
          </w:p>
        </w:tc>
        <w:tc>
          <w:tcPr>
            <w:tcW w:w="10773" w:type="dxa"/>
            <w:tcBorders>
              <w:right w:val="nil"/>
            </w:tcBorders>
            <w:vAlign w:val="center"/>
          </w:tcPr>
          <w:p>
            <w:pPr>
              <w:snapToGrid w:val="0"/>
              <w:jc w:val="left"/>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年主营业务收入达到200万元及以上的住宿和餐饮业法人企业和产业活动单位（个体户）。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3323" w:type="dxa"/>
            <w:gridSpan w:val="2"/>
            <w:tcBorders>
              <w:left w:val="nil"/>
            </w:tcBorders>
            <w:vAlign w:val="center"/>
          </w:tcPr>
          <w:p>
            <w:pPr>
              <w:snapToGrid w:val="0"/>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服务业</w:t>
            </w:r>
          </w:p>
        </w:tc>
        <w:tc>
          <w:tcPr>
            <w:tcW w:w="10773" w:type="dxa"/>
            <w:tcBorders>
              <w:right w:val="nil"/>
            </w:tcBorders>
            <w:vAlign w:val="center"/>
          </w:tcPr>
          <w:p>
            <w:pPr>
              <w:snapToGrid w:val="0"/>
              <w:jc w:val="left"/>
              <w:rPr>
                <w:rFonts w:hint="eastAsia" w:ascii="方正仿宋_GBK" w:hAnsi="方正仿宋_GBK" w:eastAsia="方正仿宋_GBK" w:cs="方正仿宋_GBK"/>
                <w:b w:val="0"/>
                <w:bCs w:val="0"/>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4"/>
                <w:szCs w:val="24"/>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kern w:val="0"/>
                <w:sz w:val="24"/>
                <w:szCs w:val="24"/>
                <w14:textFill>
                  <w14:solidFill>
                    <w14:schemeClr w14:val="tx1"/>
                  </w14:solidFill>
                </w14:textFill>
              </w:rPr>
              <w:t>年营业收入2000万元及以上服务业法人单位，包括交通运输、仓储和邮政业，信息传输、软件和信息技术服务业，水利、环境和公共设施管理业，卫生。</w:t>
            </w:r>
            <w:r>
              <w:rPr>
                <w:rFonts w:hint="eastAsia" w:ascii="方正仿宋_GBK" w:hAnsi="方正仿宋_GBK" w:eastAsia="方正仿宋_GBK" w:cs="方正仿宋_GBK"/>
                <w:b w:val="0"/>
                <w:bCs w:val="0"/>
                <w:color w:val="000000" w:themeColor="text1"/>
                <w:kern w:val="0"/>
                <w:sz w:val="24"/>
                <w:szCs w:val="24"/>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kern w:val="0"/>
                <w:sz w:val="24"/>
                <w:szCs w:val="24"/>
                <w14:textFill>
                  <w14:solidFill>
                    <w14:schemeClr w14:val="tx1"/>
                  </w14:solidFill>
                </w14:textFill>
              </w:rPr>
              <w:t>年营业收入1000万元及以上服务业法人单位，包括租赁和商务服务业，科学研究和技术服务业，教育，物业管理、房地产中介服务、房地产租赁经营、其他房地产业。</w:t>
            </w:r>
            <w:r>
              <w:rPr>
                <w:rFonts w:hint="eastAsia" w:ascii="方正仿宋_GBK" w:hAnsi="方正仿宋_GBK" w:eastAsia="方正仿宋_GBK" w:cs="方正仿宋_GBK"/>
                <w:b w:val="0"/>
                <w:bCs w:val="0"/>
                <w:color w:val="000000" w:themeColor="text1"/>
                <w:kern w:val="0"/>
                <w:sz w:val="24"/>
                <w:szCs w:val="24"/>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kern w:val="0"/>
                <w:sz w:val="24"/>
                <w:szCs w:val="24"/>
                <w14:textFill>
                  <w14:solidFill>
                    <w14:schemeClr w14:val="tx1"/>
                  </w14:solidFill>
                </w14:textFill>
              </w:rPr>
              <w:t>年营业收入500万元及以上服务业法人单位，包括居民服务、修理和其他服务业，文化、体育和娱乐业，社会工作。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57" w:type="dxa"/>
            <w:vMerge w:val="restart"/>
            <w:tcBorders>
              <w:left w:val="nil"/>
            </w:tcBorders>
            <w:vAlign w:val="center"/>
          </w:tcPr>
          <w:p>
            <w:pPr>
              <w:snapToGrid w:val="0"/>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建筑业与</w:t>
            </w:r>
          </w:p>
          <w:p>
            <w:pPr>
              <w:snapToGrid w:val="0"/>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房地产开发</w:t>
            </w:r>
          </w:p>
        </w:tc>
        <w:tc>
          <w:tcPr>
            <w:tcW w:w="1766" w:type="dxa"/>
            <w:vAlign w:val="center"/>
          </w:tcPr>
          <w:p>
            <w:pPr>
              <w:snapToGrid w:val="0"/>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建筑业</w:t>
            </w:r>
          </w:p>
        </w:tc>
        <w:tc>
          <w:tcPr>
            <w:tcW w:w="10773" w:type="dxa"/>
            <w:tcBorders>
              <w:right w:val="nil"/>
            </w:tcBorders>
            <w:vAlign w:val="center"/>
          </w:tcPr>
          <w:p>
            <w:pPr>
              <w:snapToGrid w:val="0"/>
              <w:jc w:val="left"/>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具有总承包、专业承包资质</w:t>
            </w:r>
            <w:r>
              <w:rPr>
                <w:rFonts w:hint="eastAsia" w:ascii="方正仿宋_GBK" w:hAnsi="方正仿宋_GBK" w:eastAsia="方正仿宋_GBK" w:cs="方正仿宋_GBK"/>
                <w:b w:val="0"/>
                <w:bCs w:val="0"/>
                <w:kern w:val="0"/>
                <w:sz w:val="24"/>
                <w:szCs w:val="24"/>
                <w:lang w:val="en-US" w:eastAsia="zh-CN"/>
              </w:rPr>
              <w:t>的</w:t>
            </w:r>
            <w:r>
              <w:rPr>
                <w:rFonts w:hint="eastAsia" w:ascii="方正仿宋_GBK" w:hAnsi="方正仿宋_GBK" w:eastAsia="方正仿宋_GBK" w:cs="方正仿宋_GBK"/>
                <w:b w:val="0"/>
                <w:bCs w:val="0"/>
                <w:kern w:val="0"/>
                <w:sz w:val="24"/>
                <w:szCs w:val="24"/>
              </w:rPr>
              <w:t>建筑业法人企业。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57" w:type="dxa"/>
            <w:vMerge w:val="continue"/>
            <w:tcBorders>
              <w:left w:val="nil"/>
            </w:tcBorders>
            <w:vAlign w:val="center"/>
          </w:tcPr>
          <w:p>
            <w:pPr>
              <w:snapToGrid w:val="0"/>
              <w:jc w:val="center"/>
              <w:rPr>
                <w:rFonts w:hint="eastAsia" w:ascii="方正黑体_GBK" w:hAnsi="方正黑体_GBK" w:eastAsia="方正黑体_GBK" w:cs="方正黑体_GBK"/>
                <w:b w:val="0"/>
                <w:bCs w:val="0"/>
                <w:kern w:val="0"/>
                <w:sz w:val="24"/>
                <w:szCs w:val="24"/>
              </w:rPr>
            </w:pPr>
          </w:p>
        </w:tc>
        <w:tc>
          <w:tcPr>
            <w:tcW w:w="1766" w:type="dxa"/>
            <w:vAlign w:val="center"/>
          </w:tcPr>
          <w:p>
            <w:pPr>
              <w:snapToGrid w:val="0"/>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房地产开发业</w:t>
            </w:r>
          </w:p>
        </w:tc>
        <w:tc>
          <w:tcPr>
            <w:tcW w:w="10773" w:type="dxa"/>
            <w:tcBorders>
              <w:right w:val="nil"/>
            </w:tcBorders>
            <w:vAlign w:val="center"/>
          </w:tcPr>
          <w:p>
            <w:pPr>
              <w:snapToGrid w:val="0"/>
              <w:jc w:val="left"/>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有房地产开发经营活动的全部房地产开发经营法人企业。</w:t>
            </w:r>
          </w:p>
        </w:tc>
      </w:tr>
    </w:tbl>
    <w:p>
      <w:pPr>
        <w:keepNext w:val="0"/>
        <w:keepLines w:val="0"/>
        <w:pageBreakBefore w:val="0"/>
        <w:widowControl w:val="0"/>
        <w:tabs>
          <w:tab w:val="left" w:pos="651"/>
        </w:tabs>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b w:val="0"/>
          <w:bCs w:val="0"/>
          <w:sz w:val="21"/>
          <w:szCs w:val="21"/>
          <w:lang w:val="en-US" w:eastAsia="zh-CN"/>
        </w:rPr>
      </w:pPr>
    </w:p>
    <w:p>
      <w:pPr>
        <w:keepNext w:val="0"/>
        <w:keepLines w:val="0"/>
        <w:pageBreakBefore w:val="0"/>
        <w:widowControl w:val="0"/>
        <w:tabs>
          <w:tab w:val="left" w:pos="651"/>
        </w:tabs>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注：“四上”企业是指规模以上工业企业、限额以上批发零售住宿餐饮单位（简称限额以上贸易业单位）、规模以上服务业企业、有资质的建筑业和房地产开发业企业。</w:t>
      </w:r>
    </w:p>
    <w:p>
      <w:pP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附件3</w:t>
      </w:r>
    </w:p>
    <w:p>
      <w:pPr>
        <w:pStyle w:val="3"/>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“四上”企业申报入统需提供的材料</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9"/>
        <w:gridCol w:w="2600"/>
        <w:gridCol w:w="800"/>
        <w:gridCol w:w="1033"/>
        <w:gridCol w:w="2397"/>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7829" w:type="dxa"/>
            <w:gridSpan w:val="2"/>
            <w:vMerge w:val="restart"/>
            <w:tcBorders>
              <w:lef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工业企业需提供的材料</w:t>
            </w:r>
          </w:p>
        </w:tc>
        <w:tc>
          <w:tcPr>
            <w:tcW w:w="6345" w:type="dxa"/>
            <w:gridSpan w:val="4"/>
            <w:tcBorders>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有资质的建筑业与房地产开发企业需提供的材料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829" w:type="dxa"/>
            <w:gridSpan w:val="2"/>
            <w:vMerge w:val="continue"/>
            <w:tcBorders>
              <w:lef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b w:val="0"/>
                <w:bCs w:val="0"/>
                <w:kern w:val="0"/>
                <w:sz w:val="24"/>
                <w:szCs w:val="24"/>
              </w:rPr>
            </w:pPr>
          </w:p>
        </w:tc>
        <w:tc>
          <w:tcPr>
            <w:tcW w:w="1833"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具有建筑业企业资质的建筑业法人单位</w:t>
            </w:r>
          </w:p>
        </w:tc>
        <w:tc>
          <w:tcPr>
            <w:tcW w:w="239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房地产开发经营单位</w:t>
            </w:r>
          </w:p>
        </w:tc>
        <w:tc>
          <w:tcPr>
            <w:tcW w:w="2115" w:type="dxa"/>
            <w:tcBorders>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新增其他有5000万元以上在建项目法人单位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9" w:hRule="atLeast"/>
        </w:trPr>
        <w:tc>
          <w:tcPr>
            <w:tcW w:w="7829" w:type="dxa"/>
            <w:gridSpan w:val="2"/>
            <w:tcBorders>
              <w:left w:val="nil"/>
            </w:tcBorders>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1.《一套表调查单位年/月度纳入申报表》；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2.营业执照（证书及复印件）；</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3.截至申报期最近1个月的利润表复印件；</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4.打印并加盖税务部门和企业公章的《企业增值税纳税申报表》及附表一；</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5.若新开业（投产）单位成立时间超过三年（含当前申报年份），需提供自企业成立以来，含各年份当年累计营业收入情况的《增值税纳税申报表》等可证实企业开业投产时间的相关材料，同时附加企业关于开业投产时间的说明（加盖企业公章）；</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6.企业生产经营场地入口的实地彩色清晰照片（需有企业名称的挂牌）及生产加工现场的设备照片（需采用水印相机拍照，水印内容包括核查日期、时间、定位。照片内需包含现场核查人）；</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7.新开业（投产）单位还需提供发展改革部门或工信部门对建设项目的批复或备案文件复印件；</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8.规下升规上”企业还需提供同期分月产值、收入数据；</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9.新申报的工业单位若为战新企业，还需提供加盖企业和直管统计机构公章的战新产品彩色清晰照片及战新产品信息表，战新产品照片需附产品说明（包括但不限于战新产品名称、用途、技术标准及生产工艺等），同时提交电子表格版战新产品信息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lang w:eastAsia="zh-CN"/>
              </w:rPr>
            </w:pPr>
            <w:r>
              <w:rPr>
                <w:rFonts w:hint="eastAsia" w:ascii="方正仿宋_GBK" w:hAnsi="方正仿宋_GBK" w:eastAsia="方正仿宋_GBK" w:cs="方正仿宋_GBK"/>
                <w:b w:val="0"/>
                <w:bCs w:val="0"/>
                <w:kern w:val="0"/>
                <w:sz w:val="24"/>
                <w:szCs w:val="24"/>
              </w:rPr>
              <w:t>10.企业产值佐证材料</w:t>
            </w:r>
            <w:r>
              <w:rPr>
                <w:rFonts w:hint="eastAsia" w:ascii="方正仿宋_GBK" w:hAnsi="方正仿宋_GBK" w:eastAsia="方正仿宋_GBK" w:cs="方正仿宋_GBK"/>
                <w:b w:val="0"/>
                <w:bCs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8"/>
                <w:szCs w:val="28"/>
                <w:lang w:eastAsia="zh-CN"/>
              </w:rPr>
            </w:pPr>
            <w:r>
              <w:rPr>
                <w:rFonts w:hint="eastAsia" w:ascii="方正仿宋_GBK" w:hAnsi="方正仿宋_GBK" w:eastAsia="方正仿宋_GBK" w:cs="方正仿宋_GBK"/>
                <w:b w:val="0"/>
                <w:bCs w:val="0"/>
                <w:kern w:val="0"/>
                <w:sz w:val="24"/>
                <w:szCs w:val="24"/>
              </w:rPr>
              <w:t>11.填写《规模以上工业企业纳统统计数据真实性承诺书》</w:t>
            </w:r>
            <w:r>
              <w:rPr>
                <w:rFonts w:hint="eastAsia" w:ascii="方正仿宋_GBK" w:hAnsi="方正仿宋_GBK" w:eastAsia="方正仿宋_GBK" w:cs="方正仿宋_GBK"/>
                <w:b w:val="0"/>
                <w:bCs w:val="0"/>
                <w:kern w:val="0"/>
                <w:sz w:val="24"/>
                <w:szCs w:val="24"/>
                <w:lang w:eastAsia="zh-CN"/>
              </w:rPr>
              <w:t>。</w:t>
            </w:r>
          </w:p>
        </w:tc>
        <w:tc>
          <w:tcPr>
            <w:tcW w:w="1833" w:type="dxa"/>
            <w:gridSpan w:val="2"/>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1.《一套表调查单位年/月度纳入申报表》；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2.营业执照（证书及复印件）；</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lang w:eastAsia="zh-CN"/>
              </w:rPr>
            </w:pPr>
            <w:r>
              <w:rPr>
                <w:rFonts w:hint="eastAsia" w:ascii="方正仿宋_GBK" w:hAnsi="方正仿宋_GBK" w:eastAsia="方正仿宋_GBK" w:cs="方正仿宋_GBK"/>
                <w:b w:val="0"/>
                <w:bCs w:val="0"/>
                <w:kern w:val="0"/>
                <w:sz w:val="24"/>
                <w:szCs w:val="24"/>
              </w:rPr>
              <w:t>3.带有“建筑业企业资质证书”字样和住建部门公章页面的资质证书复印件</w:t>
            </w:r>
            <w:r>
              <w:rPr>
                <w:rFonts w:hint="eastAsia" w:ascii="方正仿宋_GBK" w:hAnsi="方正仿宋_GBK" w:eastAsia="方正仿宋_GBK" w:cs="方正仿宋_GBK"/>
                <w:b w:val="0"/>
                <w:bCs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4.最近1个月的资产负债表和利润表。</w:t>
            </w:r>
          </w:p>
        </w:tc>
        <w:tc>
          <w:tcPr>
            <w:tcW w:w="239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1.《一套表调查单位年/月度纳入申报表》；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2.营业执照（证书及复印件）；</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3.房地产开发经营企业资质证书复印件。</w:t>
            </w:r>
          </w:p>
        </w:tc>
        <w:tc>
          <w:tcPr>
            <w:tcW w:w="2115" w:type="dxa"/>
            <w:tcBorders>
              <w:right w:val="nil"/>
            </w:tcBorders>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1.《一套表调查单位年/月度纳入申报表》；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2.营业执照（证书及复印件）；</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3.组织机构代码证复印件；</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4.审批核准备案文件（或购置合同）；</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lang w:eastAsia="zh-CN"/>
              </w:rPr>
            </w:pPr>
            <w:r>
              <w:rPr>
                <w:rFonts w:hint="eastAsia" w:ascii="方正仿宋_GBK" w:hAnsi="方正仿宋_GBK" w:eastAsia="方正仿宋_GBK" w:cs="方正仿宋_GBK"/>
                <w:b w:val="0"/>
                <w:bCs w:val="0"/>
                <w:kern w:val="0"/>
                <w:sz w:val="24"/>
                <w:szCs w:val="24"/>
              </w:rPr>
              <w:t>5.证明项目开工的材料（施工照片或购置证明材料）</w:t>
            </w:r>
            <w:r>
              <w:rPr>
                <w:rFonts w:hint="eastAsia" w:ascii="方正仿宋_GBK" w:hAnsi="方正仿宋_GBK" w:eastAsia="方正仿宋_GBK" w:cs="方正仿宋_GBK"/>
                <w:b w:val="0"/>
                <w:bCs w:val="0"/>
                <w:kern w:val="0"/>
                <w:sz w:val="24"/>
                <w:szCs w:val="24"/>
                <w:lang w:eastAsia="zh-CN"/>
              </w:rPr>
              <w:t>；</w:t>
            </w:r>
          </w:p>
          <w:p>
            <w:pPr>
              <w:pStyle w:val="3"/>
              <w:keepNext w:val="0"/>
              <w:keepLines w:val="0"/>
              <w:pageBreakBefore w:val="0"/>
              <w:widowControl w:val="0"/>
              <w:kinsoku/>
              <w:wordWrap/>
              <w:overflowPunct/>
              <w:topLinePunct w:val="0"/>
              <w:autoSpaceDE/>
              <w:autoSpaceDN/>
              <w:bidi w:val="0"/>
              <w:adjustRightInd/>
              <w:spacing w:line="280" w:lineRule="exact"/>
              <w:ind w:left="0" w:leftChars="0" w:firstLine="0" w:firstLineChars="0"/>
              <w:jc w:val="left"/>
              <w:textAlignment w:val="auto"/>
              <w:rPr>
                <w:rFonts w:hint="eastAsia" w:ascii="方正仿宋_GBK" w:hAnsi="方正仿宋_GBK" w:eastAsia="方正仿宋_GBK" w:cs="方正仿宋_GBK"/>
                <w:b w:val="0"/>
                <w:bCs w:val="0"/>
                <w:lang w:eastAsia="zh-CN"/>
              </w:rPr>
            </w:pPr>
            <w:r>
              <w:rPr>
                <w:rFonts w:hint="eastAsia" w:ascii="方正仿宋_GBK" w:hAnsi="方正仿宋_GBK" w:eastAsia="方正仿宋_GBK" w:cs="方正仿宋_GBK"/>
                <w:b w:val="0"/>
                <w:bCs w:val="0"/>
                <w:kern w:val="0"/>
                <w:sz w:val="24"/>
                <w:szCs w:val="24"/>
                <w:lang w:val="en-US" w:eastAsia="zh-CN"/>
              </w:rPr>
              <w:t>6</w:t>
            </w:r>
            <w:r>
              <w:rPr>
                <w:rFonts w:hint="eastAsia" w:ascii="方正仿宋_GBK" w:hAnsi="方正仿宋_GBK" w:eastAsia="方正仿宋_GBK" w:cs="方正仿宋_GBK"/>
                <w:b w:val="0"/>
                <w:bCs w:val="0"/>
                <w:kern w:val="0"/>
                <w:sz w:val="24"/>
                <w:szCs w:val="24"/>
              </w:rPr>
              <w:t>.投资项目申请表、形象进度说明</w:t>
            </w:r>
            <w:r>
              <w:rPr>
                <w:rFonts w:hint="eastAsia" w:ascii="方正仿宋_GBK" w:hAnsi="方正仿宋_GBK" w:eastAsia="方正仿宋_GBK" w:cs="方正仿宋_GBK"/>
                <w:b w:val="0"/>
                <w:bCs w:val="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629" w:type="dxa"/>
            <w:gridSpan w:val="3"/>
            <w:tcBorders>
              <w:lef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br w:type="page"/>
            </w:r>
            <w:r>
              <w:rPr>
                <w:rFonts w:hint="eastAsia" w:ascii="方正黑体_GBK" w:hAnsi="方正黑体_GBK" w:eastAsia="方正黑体_GBK" w:cs="方正黑体_GBK"/>
                <w:b w:val="0"/>
                <w:bCs w:val="0"/>
                <w:kern w:val="0"/>
                <w:sz w:val="24"/>
                <w:szCs w:val="24"/>
              </w:rPr>
              <w:t>贸易</w:t>
            </w:r>
            <w:r>
              <w:rPr>
                <w:rFonts w:hint="eastAsia" w:ascii="方正黑体_GBK" w:hAnsi="方正黑体_GBK" w:eastAsia="方正黑体_GBK" w:cs="方正黑体_GBK"/>
                <w:b w:val="0"/>
                <w:bCs w:val="0"/>
                <w:kern w:val="0"/>
                <w:sz w:val="24"/>
                <w:szCs w:val="24"/>
                <w:lang w:val="en-US" w:eastAsia="zh-CN"/>
              </w:rPr>
              <w:t>单位</w:t>
            </w:r>
            <w:r>
              <w:rPr>
                <w:rFonts w:hint="eastAsia" w:ascii="方正黑体_GBK" w:hAnsi="方正黑体_GBK" w:eastAsia="方正黑体_GBK" w:cs="方正黑体_GBK"/>
                <w:b w:val="0"/>
                <w:bCs w:val="0"/>
                <w:kern w:val="0"/>
                <w:sz w:val="24"/>
                <w:szCs w:val="24"/>
              </w:rPr>
              <w:t>需提供的材料</w:t>
            </w:r>
          </w:p>
        </w:tc>
        <w:tc>
          <w:tcPr>
            <w:tcW w:w="5545" w:type="dxa"/>
            <w:gridSpan w:val="3"/>
            <w:vMerge w:val="restart"/>
            <w:tcBorders>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服务业企业</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24"/>
                <w:szCs w:val="24"/>
              </w:rPr>
              <w:t>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5229" w:type="dxa"/>
            <w:tcBorders>
              <w:lef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b w:val="0"/>
                <w:bCs w:val="0"/>
                <w:kern w:val="0"/>
                <w:sz w:val="24"/>
                <w:szCs w:val="24"/>
                <w:lang w:val="en-US" w:eastAsia="zh-CN"/>
              </w:rPr>
            </w:pPr>
            <w:r>
              <w:rPr>
                <w:rFonts w:hint="eastAsia" w:ascii="方正黑体_GBK" w:hAnsi="方正黑体_GBK" w:eastAsia="方正黑体_GBK" w:cs="方正黑体_GBK"/>
                <w:b w:val="0"/>
                <w:bCs w:val="0"/>
                <w:kern w:val="0"/>
                <w:sz w:val="24"/>
                <w:szCs w:val="24"/>
              </w:rPr>
              <w:t>批发和零售业</w:t>
            </w:r>
            <w:r>
              <w:rPr>
                <w:rFonts w:hint="eastAsia" w:ascii="方正黑体_GBK" w:hAnsi="方正黑体_GBK" w:eastAsia="方正黑体_GBK" w:cs="方正黑体_GBK"/>
                <w:b w:val="0"/>
                <w:bCs w:val="0"/>
                <w:kern w:val="0"/>
                <w:sz w:val="24"/>
                <w:szCs w:val="24"/>
                <w:lang w:eastAsia="zh-CN"/>
              </w:rPr>
              <w:t>、</w:t>
            </w:r>
            <w:r>
              <w:rPr>
                <w:rFonts w:hint="eastAsia" w:ascii="方正黑体_GBK" w:hAnsi="方正黑体_GBK" w:eastAsia="方正黑体_GBK" w:cs="方正黑体_GBK"/>
                <w:b w:val="0"/>
                <w:bCs w:val="0"/>
                <w:kern w:val="0"/>
                <w:sz w:val="24"/>
                <w:szCs w:val="24"/>
                <w:lang w:val="en-US" w:eastAsia="zh-CN"/>
              </w:rPr>
              <w:t>住宿和餐饮业</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b w:val="0"/>
                <w:bCs w:val="0"/>
                <w:kern w:val="0"/>
                <w:sz w:val="24"/>
                <w:szCs w:val="24"/>
                <w:lang w:eastAsia="zh-CN"/>
              </w:rPr>
            </w:pPr>
            <w:r>
              <w:rPr>
                <w:rFonts w:hint="eastAsia" w:ascii="方正黑体_GBK" w:hAnsi="方正黑体_GBK" w:eastAsia="方正黑体_GBK" w:cs="方正黑体_GBK"/>
                <w:b w:val="0"/>
                <w:bCs w:val="0"/>
                <w:kern w:val="0"/>
                <w:sz w:val="24"/>
                <w:szCs w:val="24"/>
              </w:rPr>
              <w:t>法人单位</w:t>
            </w:r>
            <w:r>
              <w:rPr>
                <w:rFonts w:hint="eastAsia" w:ascii="方正黑体_GBK" w:hAnsi="方正黑体_GBK" w:eastAsia="方正黑体_GBK" w:cs="方正黑体_GBK"/>
                <w:b w:val="0"/>
                <w:bCs w:val="0"/>
                <w:kern w:val="0"/>
                <w:sz w:val="24"/>
                <w:szCs w:val="24"/>
                <w:lang w:eastAsia="zh-CN"/>
              </w:rPr>
              <w:t>（</w:t>
            </w:r>
            <w:r>
              <w:rPr>
                <w:rFonts w:hint="eastAsia" w:ascii="方正黑体_GBK" w:hAnsi="方正黑体_GBK" w:eastAsia="方正黑体_GBK" w:cs="方正黑体_GBK"/>
                <w:b w:val="0"/>
                <w:bCs w:val="0"/>
                <w:kern w:val="0"/>
                <w:sz w:val="24"/>
                <w:szCs w:val="24"/>
                <w:lang w:val="en-US" w:eastAsia="zh-CN"/>
              </w:rPr>
              <w:t>产业活动单位</w:t>
            </w:r>
            <w:r>
              <w:rPr>
                <w:rFonts w:hint="eastAsia" w:ascii="方正黑体_GBK" w:hAnsi="方正黑体_GBK" w:eastAsia="方正黑体_GBK" w:cs="方正黑体_GBK"/>
                <w:b w:val="0"/>
                <w:bCs w:val="0"/>
                <w:kern w:val="0"/>
                <w:sz w:val="24"/>
                <w:szCs w:val="24"/>
                <w:lang w:eastAsia="zh-CN"/>
              </w:rPr>
              <w:t>）</w:t>
            </w:r>
          </w:p>
        </w:tc>
        <w:tc>
          <w:tcPr>
            <w:tcW w:w="340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lang w:val="en-US" w:eastAsia="zh-CN"/>
              </w:rPr>
              <w:t>批发和零售业、</w:t>
            </w:r>
            <w:r>
              <w:rPr>
                <w:rFonts w:hint="eastAsia" w:ascii="方正黑体_GBK" w:hAnsi="方正黑体_GBK" w:eastAsia="方正黑体_GBK" w:cs="方正黑体_GBK"/>
                <w:b w:val="0"/>
                <w:bCs w:val="0"/>
                <w:kern w:val="0"/>
                <w:sz w:val="24"/>
                <w:szCs w:val="24"/>
              </w:rPr>
              <w:t>住宿和餐饮业</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b w:val="0"/>
                <w:bCs w:val="0"/>
                <w:kern w:val="0"/>
                <w:sz w:val="24"/>
                <w:szCs w:val="24"/>
                <w:lang w:eastAsia="zh-CN"/>
              </w:rPr>
            </w:pPr>
            <w:r>
              <w:rPr>
                <w:rFonts w:hint="eastAsia" w:ascii="方正黑体_GBK" w:hAnsi="方正黑体_GBK" w:eastAsia="方正黑体_GBK" w:cs="方正黑体_GBK"/>
                <w:b w:val="0"/>
                <w:bCs w:val="0"/>
                <w:kern w:val="0"/>
                <w:sz w:val="24"/>
                <w:szCs w:val="24"/>
                <w:lang w:val="en-US" w:eastAsia="zh-CN"/>
              </w:rPr>
              <w:t>个体户</w:t>
            </w:r>
          </w:p>
        </w:tc>
        <w:tc>
          <w:tcPr>
            <w:tcW w:w="5545" w:type="dxa"/>
            <w:gridSpan w:val="3"/>
            <w:vMerge w:val="continue"/>
            <w:tcBorders>
              <w:right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黑体_GBK" w:hAnsi="方正黑体_GBK" w:eastAsia="方正黑体_GBK" w:cs="方正黑体_GBK"/>
                <w:b w:val="0"/>
                <w:bCs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0" w:hRule="atLeast"/>
        </w:trPr>
        <w:tc>
          <w:tcPr>
            <w:tcW w:w="5229" w:type="dxa"/>
            <w:tcBorders>
              <w:left w:val="nil"/>
            </w:tcBorders>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1.《一套表调查单位年/月度纳入申报表》；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2.营业执照（证书及复印件）；</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3.截至申报期最近1个月加盖单位公章（或财务专用章）的《利润表》复印件（若无月度表，则提供最近1个季度的报表复印件）；</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lang w:val="en-US" w:eastAsia="zh-CN"/>
              </w:rPr>
              <w:t>4</w:t>
            </w:r>
            <w:r>
              <w:rPr>
                <w:rFonts w:hint="eastAsia" w:ascii="方正仿宋_GBK" w:hAnsi="方正仿宋_GBK" w:eastAsia="方正仿宋_GBK" w:cs="方正仿宋_GBK"/>
                <w:b w:val="0"/>
                <w:bCs w:val="0"/>
                <w:kern w:val="0"/>
                <w:sz w:val="24"/>
                <w:szCs w:val="24"/>
              </w:rPr>
              <w:t>.打印税务网上申报系统下载的《增值税纳税申报表》并加盖单位公章，或打印税务网上申报系统查询的《增值税纳税申报表》整屏截图（带查询页面的完整表）并加盖单位公章；</w:t>
            </w:r>
          </w:p>
          <w:p>
            <w:pPr>
              <w:pStyle w:val="3"/>
              <w:keepNext w:val="0"/>
              <w:keepLines w:val="0"/>
              <w:pageBreakBefore w:val="0"/>
              <w:widowControl w:val="0"/>
              <w:kinsoku/>
              <w:wordWrap/>
              <w:overflowPunct/>
              <w:topLinePunct w:val="0"/>
              <w:autoSpaceDE/>
              <w:autoSpaceDN/>
              <w:bidi w:val="0"/>
              <w:adjustRightInd/>
              <w:spacing w:line="280" w:lineRule="exact"/>
              <w:ind w:left="0" w:leftChars="0" w:firstLine="0" w:firstLineChars="0"/>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lang w:val="en-US" w:eastAsia="zh-CN"/>
              </w:rPr>
              <w:t>5</w:t>
            </w:r>
            <w:r>
              <w:rPr>
                <w:rFonts w:hint="eastAsia" w:ascii="方正仿宋_GBK" w:hAnsi="方正仿宋_GBK" w:eastAsia="方正仿宋_GBK" w:cs="方正仿宋_GBK"/>
                <w:b w:val="0"/>
                <w:bCs w:val="0"/>
                <w:kern w:val="0"/>
                <w:sz w:val="24"/>
                <w:szCs w:val="24"/>
              </w:rPr>
              <w:t>.非批发和零售业法人单位附营的限额以上批发和零售业产业活动单位还需提供：最近连续3个月的《批发和零售业产业活动单位（个体经营户）商品销售和库存》（E204-3表）。</w:t>
            </w:r>
          </w:p>
          <w:p>
            <w:pPr>
              <w:pStyle w:val="3"/>
              <w:keepNext w:val="0"/>
              <w:keepLines w:val="0"/>
              <w:pageBreakBefore w:val="0"/>
              <w:widowControl w:val="0"/>
              <w:kinsoku/>
              <w:wordWrap/>
              <w:overflowPunct/>
              <w:topLinePunct w:val="0"/>
              <w:autoSpaceDE/>
              <w:autoSpaceDN/>
              <w:bidi w:val="0"/>
              <w:adjustRightInd/>
              <w:spacing w:line="280" w:lineRule="exact"/>
              <w:ind w:left="0" w:leftChars="0" w:firstLine="0" w:firstLineChars="0"/>
              <w:jc w:val="left"/>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6.</w:t>
            </w:r>
            <w:r>
              <w:rPr>
                <w:rFonts w:hint="eastAsia" w:ascii="方正仿宋_GBK" w:hAnsi="方正仿宋_GBK" w:eastAsia="方正仿宋_GBK" w:cs="方正仿宋_GBK"/>
                <w:b w:val="0"/>
                <w:bCs w:val="0"/>
                <w:kern w:val="0"/>
                <w:sz w:val="24"/>
                <w:szCs w:val="24"/>
              </w:rPr>
              <w:t>非住宿和餐饮业法人单位附营的限额以上住宿和餐饮业产业活动单位还需提供：最近连续3个月的《住宿和餐饮业产业活动单位（个体经营户）经营情况》（S204-3表）。</w:t>
            </w:r>
          </w:p>
        </w:tc>
        <w:tc>
          <w:tcPr>
            <w:tcW w:w="3400" w:type="dxa"/>
            <w:gridSpan w:val="2"/>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1.《一套表调查单位年/月度纳入申报表》；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2.营业执照（证书及复印件）；</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rPr>
              <w:t>3.</w:t>
            </w:r>
            <w:r>
              <w:rPr>
                <w:rFonts w:hint="eastAsia" w:ascii="方正仿宋_GBK" w:hAnsi="方正仿宋_GBK" w:eastAsia="方正仿宋_GBK" w:cs="方正仿宋_GBK"/>
                <w:b w:val="0"/>
                <w:bCs w:val="0"/>
                <w:kern w:val="0"/>
                <w:sz w:val="24"/>
                <w:szCs w:val="24"/>
                <w:lang w:val="en-US" w:eastAsia="zh-CN"/>
              </w:rPr>
              <w:t>最近连续3个月的经营情况表（批发和零售业填写</w:t>
            </w:r>
            <w:r>
              <w:rPr>
                <w:rFonts w:hint="eastAsia" w:ascii="方正仿宋_GBK" w:hAnsi="方正仿宋_GBK" w:eastAsia="方正仿宋_GBK" w:cs="方正仿宋_GBK"/>
                <w:b w:val="0"/>
                <w:bCs w:val="0"/>
                <w:kern w:val="0"/>
                <w:sz w:val="24"/>
                <w:szCs w:val="24"/>
              </w:rPr>
              <w:t>E204-3表</w:t>
            </w:r>
            <w:r>
              <w:rPr>
                <w:rFonts w:hint="eastAsia" w:ascii="方正仿宋_GBK" w:hAnsi="方正仿宋_GBK" w:eastAsia="方正仿宋_GBK" w:cs="方正仿宋_GBK"/>
                <w:b w:val="0"/>
                <w:bCs w:val="0"/>
                <w:kern w:val="0"/>
                <w:sz w:val="24"/>
                <w:szCs w:val="24"/>
                <w:lang w:val="en-US" w:eastAsia="zh-CN"/>
              </w:rPr>
              <w:t>、住宿和餐饮业填写S204-3表）；</w:t>
            </w:r>
          </w:p>
          <w:p>
            <w:pPr>
              <w:pStyle w:val="3"/>
              <w:keepNext w:val="0"/>
              <w:keepLines w:val="0"/>
              <w:pageBreakBefore w:val="0"/>
              <w:widowControl w:val="0"/>
              <w:kinsoku/>
              <w:wordWrap/>
              <w:overflowPunct/>
              <w:topLinePunct w:val="0"/>
              <w:autoSpaceDE/>
              <w:autoSpaceDN/>
              <w:bidi w:val="0"/>
              <w:adjustRightInd/>
              <w:spacing w:line="280" w:lineRule="exact"/>
              <w:ind w:left="0" w:leftChars="0" w:firstLine="0" w:firstLineChars="0"/>
              <w:jc w:val="left"/>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4.截至申报期最近1个月加盖公章的增值税纳税申报表复印件；</w:t>
            </w:r>
          </w:p>
          <w:p>
            <w:pPr>
              <w:pStyle w:val="3"/>
              <w:keepNext w:val="0"/>
              <w:keepLines w:val="0"/>
              <w:pageBreakBefore w:val="0"/>
              <w:widowControl w:val="0"/>
              <w:kinsoku/>
              <w:wordWrap/>
              <w:overflowPunct/>
              <w:topLinePunct w:val="0"/>
              <w:autoSpaceDE/>
              <w:autoSpaceDN/>
              <w:bidi w:val="0"/>
              <w:adjustRightInd/>
              <w:spacing w:line="280" w:lineRule="exact"/>
              <w:ind w:left="0" w:leftChars="0" w:firstLine="0" w:firstLineChars="0"/>
              <w:jc w:val="left"/>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5.业务管理系统说明；</w:t>
            </w:r>
          </w:p>
          <w:p>
            <w:pPr>
              <w:pStyle w:val="3"/>
              <w:keepNext w:val="0"/>
              <w:keepLines w:val="0"/>
              <w:pageBreakBefore w:val="0"/>
              <w:widowControl w:val="0"/>
              <w:kinsoku/>
              <w:wordWrap/>
              <w:overflowPunct/>
              <w:topLinePunct w:val="0"/>
              <w:autoSpaceDE/>
              <w:autoSpaceDN/>
              <w:bidi w:val="0"/>
              <w:adjustRightInd/>
              <w:spacing w:line="280" w:lineRule="exact"/>
              <w:ind w:left="0" w:leftChars="0" w:firstLine="0" w:firstLineChars="0"/>
              <w:jc w:val="left"/>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kern w:val="0"/>
                <w:sz w:val="24"/>
                <w:szCs w:val="24"/>
                <w:lang w:val="en-US" w:eastAsia="zh-CN"/>
              </w:rPr>
              <w:t>6.最近连续3个月的业务管理系统截图或其他证明材料。</w:t>
            </w:r>
          </w:p>
        </w:tc>
        <w:tc>
          <w:tcPr>
            <w:tcW w:w="5545" w:type="dxa"/>
            <w:gridSpan w:val="3"/>
            <w:tcBorders>
              <w:right w:val="nil"/>
            </w:tcBorders>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rPr>
              <w:t>1.《一套表调查单位年/月度纳入申报表》</w:t>
            </w:r>
            <w:r>
              <w:rPr>
                <w:rFonts w:hint="eastAsia" w:ascii="方正仿宋_GBK" w:hAnsi="方正仿宋_GBK" w:eastAsia="方正仿宋_GBK" w:cs="方正仿宋_GBK"/>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2.</w:t>
            </w:r>
            <w:r>
              <w:rPr>
                <w:rFonts w:hint="eastAsia" w:ascii="方正仿宋_GBK" w:hAnsi="方正仿宋_GBK" w:eastAsia="方正仿宋_GBK" w:cs="方正仿宋_GBK"/>
                <w:b w:val="0"/>
                <w:bCs w:val="0"/>
                <w:sz w:val="24"/>
                <w:szCs w:val="24"/>
              </w:rPr>
              <w:t>营业执照（证书）复印件。</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3</w:t>
            </w:r>
            <w:r>
              <w:rPr>
                <w:rFonts w:hint="eastAsia" w:ascii="方正仿宋_GBK" w:hAnsi="方正仿宋_GBK" w:eastAsia="方正仿宋_GBK" w:cs="方正仿宋_GBK"/>
                <w:b w:val="0"/>
                <w:bCs w:val="0"/>
                <w:sz w:val="24"/>
                <w:szCs w:val="24"/>
              </w:rPr>
              <w:t>.截至申报期最近1个月加盖单位公章（或财务专用章）的《利润表》；</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4</w:t>
            </w:r>
            <w:r>
              <w:rPr>
                <w:rFonts w:hint="eastAsia" w:ascii="方正仿宋_GBK" w:hAnsi="方正仿宋_GBK" w:eastAsia="方正仿宋_GBK" w:cs="方正仿宋_GBK"/>
                <w:b w:val="0"/>
                <w:bCs w:val="0"/>
                <w:sz w:val="24"/>
                <w:szCs w:val="24"/>
              </w:rPr>
              <w:t>.打印税务网上申报系统下载的《增值税纳税申报表》并加盖单位公章，或打印税务网上申报系统查询的《增值税纳税申报表》整屏截图（带查询页面的完整表）并加盖单位公章；</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5</w:t>
            </w:r>
            <w:r>
              <w:rPr>
                <w:rFonts w:hint="eastAsia" w:ascii="方正仿宋_GBK" w:hAnsi="方正仿宋_GBK" w:eastAsia="方正仿宋_GBK" w:cs="方正仿宋_GBK"/>
                <w:b w:val="0"/>
                <w:bCs w:val="0"/>
                <w:sz w:val="24"/>
                <w:szCs w:val="24"/>
              </w:rPr>
              <w:t>.加盖单位公章的《增值税纳税申报表附列资料（表一》（小规模纳税人免此项），没有《增值税纳税申报表附列资料（表一》的单位，需附证明材料；</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6</w:t>
            </w:r>
            <w:r>
              <w:rPr>
                <w:rFonts w:hint="eastAsia" w:ascii="方正仿宋_GBK" w:hAnsi="方正仿宋_GBK" w:eastAsia="方正仿宋_GBK" w:cs="方正仿宋_GBK"/>
                <w:b w:val="0"/>
                <w:bCs w:val="0"/>
                <w:sz w:val="24"/>
                <w:szCs w:val="24"/>
              </w:rPr>
              <w:t>.利润表和纳税申报表中营业收入不一致需要提供说明材料并加盖单位公章（或财务专用章）；</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方正仿宋_GBK" w:hAnsi="方正仿宋_GBK" w:eastAsia="方正仿宋_GBK" w:cs="方正仿宋_GBK"/>
                <w:b w:val="0"/>
                <w:bCs w:val="0"/>
                <w:kern w:val="0"/>
                <w:sz w:val="24"/>
                <w:szCs w:val="24"/>
                <w:lang w:val="en-US" w:eastAsia="zh-CN"/>
              </w:rPr>
            </w:pPr>
            <w:r>
              <w:rPr>
                <w:rFonts w:hint="eastAsia" w:ascii="方正仿宋_GBK" w:hAnsi="方正仿宋_GBK" w:eastAsia="方正仿宋_GBK" w:cs="方正仿宋_GBK"/>
                <w:b w:val="0"/>
                <w:bCs w:val="0"/>
                <w:sz w:val="24"/>
                <w:szCs w:val="24"/>
                <w:lang w:val="en-US" w:eastAsia="zh-CN"/>
              </w:rPr>
              <w:t>7</w:t>
            </w:r>
            <w:r>
              <w:rPr>
                <w:rFonts w:hint="eastAsia" w:ascii="方正仿宋_GBK" w:hAnsi="方正仿宋_GBK" w:eastAsia="方正仿宋_GBK" w:cs="方正仿宋_GBK"/>
                <w:b w:val="0"/>
                <w:bCs w:val="0"/>
                <w:sz w:val="24"/>
                <w:szCs w:val="24"/>
              </w:rPr>
              <w:t>.企业主要业务活动说明（按营业收入所占比重从大到小顺序填写）并加盖单位公章。如果法人单位的营业执照成立日期早于上年第4季度，还需提供上年第4季度或当年开始营业的相关证明材料。</w:t>
            </w: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楷体_GBK" w:hAnsi="方正楷体_GBK" w:eastAsia="方正楷体_GBK" w:cs="方正楷体_GBK"/>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楷体_GBK" w:hAnsi="方正楷体_GBK" w:eastAsia="方正楷体_GBK" w:cs="方正楷体_GBK"/>
          <w:b w:val="0"/>
          <w:bCs w:val="0"/>
          <w:sz w:val="24"/>
          <w:szCs w:val="24"/>
          <w:lang w:val="en-US" w:eastAsia="zh-CN"/>
        </w:rPr>
      </w:pPr>
      <w:r>
        <w:rPr>
          <w:rFonts w:hint="eastAsia" w:ascii="方正楷体_GBK" w:hAnsi="方正楷体_GBK" w:eastAsia="方正楷体_GBK" w:cs="方正楷体_GBK"/>
          <w:b w:val="0"/>
          <w:bCs w:val="0"/>
          <w:sz w:val="24"/>
          <w:szCs w:val="24"/>
          <w:lang w:val="en-US" w:eastAsia="zh-CN"/>
        </w:rPr>
        <w:t>（1）工业、批发和零售业、住宿和餐饮业、服务业法人单位，如果是执行企业会计准则的事业单位、民办非企业单位、农民专业合作社、律师事务所等，还需提供在税务部门备案的财务会计制度报告书复印件，或加盖单位公章的执行会计准则制度情况说明。</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b w:val="0"/>
          <w:bCs w:val="0"/>
          <w:sz w:val="2"/>
          <w:szCs w:val="2"/>
          <w:lang w:val="en-US" w:eastAsia="zh-CN"/>
        </w:rPr>
      </w:pPr>
      <w:r>
        <w:rPr>
          <w:rFonts w:hint="eastAsia" w:ascii="方正楷体_GBK" w:hAnsi="方正楷体_GBK" w:eastAsia="方正楷体_GBK" w:cs="方正楷体_GBK"/>
          <w:b w:val="0"/>
          <w:bCs w:val="0"/>
          <w:sz w:val="24"/>
          <w:szCs w:val="24"/>
          <w:lang w:val="en-US" w:eastAsia="zh-CN"/>
        </w:rPr>
        <w:t>（2）已经共享“五证合一”相关部门信息，并能直接利用该信息验证企业身份的地区，可免于提供营业执照（证书）复印件。</w:t>
      </w:r>
      <w:r>
        <w:rPr>
          <w:rFonts w:hint="eastAsia" w:ascii="方正仿宋_GBK" w:hAnsi="方正仿宋_GBK" w:eastAsia="方正仿宋_GBK" w:cs="方正仿宋_GBK"/>
          <w:b w:val="0"/>
          <w:bCs w:val="0"/>
          <w:sz w:val="2"/>
          <w:szCs w:val="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附件4</w:t>
      </w:r>
    </w:p>
    <w:p>
      <w:pPr>
        <w:keepNext w:val="0"/>
        <w:keepLines w:val="0"/>
        <w:pageBreakBefore w:val="0"/>
        <w:widowControl w:val="0"/>
        <w:tabs>
          <w:tab w:val="left" w:pos="651"/>
        </w:tabs>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固定资产投资项目入统标准及申报材料</w:t>
      </w: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1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9" w:type="dxa"/>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项</w:t>
            </w:r>
            <w:r>
              <w:rPr>
                <w:rFonts w:hint="eastAsia" w:ascii="方正黑体_GBK" w:hAnsi="方正黑体_GBK" w:eastAsia="方正黑体_GBK" w:cs="方正黑体_GBK"/>
                <w:b w:val="0"/>
                <w:bCs w:val="0"/>
                <w:kern w:val="0"/>
                <w:sz w:val="24"/>
                <w:szCs w:val="24"/>
                <w:lang w:val="en-US" w:eastAsia="zh-CN"/>
              </w:rPr>
              <w:t xml:space="preserve">  </w:t>
            </w:r>
            <w:r>
              <w:rPr>
                <w:rFonts w:hint="eastAsia" w:ascii="方正黑体_GBK" w:hAnsi="方正黑体_GBK" w:eastAsia="方正黑体_GBK" w:cs="方正黑体_GBK"/>
                <w:b w:val="0"/>
                <w:bCs w:val="0"/>
                <w:kern w:val="0"/>
                <w:sz w:val="24"/>
                <w:szCs w:val="24"/>
              </w:rPr>
              <w:t>目</w:t>
            </w:r>
          </w:p>
        </w:tc>
        <w:tc>
          <w:tcPr>
            <w:tcW w:w="12395"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内</w:t>
            </w:r>
            <w:r>
              <w:rPr>
                <w:rFonts w:hint="eastAsia" w:ascii="方正黑体_GBK" w:hAnsi="方正黑体_GBK" w:eastAsia="方正黑体_GBK" w:cs="方正黑体_GBK"/>
                <w:b w:val="0"/>
                <w:bCs w:val="0"/>
                <w:kern w:val="0"/>
                <w:sz w:val="24"/>
                <w:szCs w:val="24"/>
                <w:lang w:val="en-US" w:eastAsia="zh-CN"/>
              </w:rPr>
              <w:t xml:space="preserve">  </w:t>
            </w:r>
            <w:r>
              <w:rPr>
                <w:rFonts w:hint="eastAsia" w:ascii="方正黑体_GBK" w:hAnsi="方正黑体_GBK" w:eastAsia="方正黑体_GBK" w:cs="方正黑体_GBK"/>
                <w:b w:val="0"/>
                <w:bCs w:val="0"/>
                <w:kern w:val="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1779" w:type="dxa"/>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统计范围</w:t>
            </w:r>
          </w:p>
        </w:tc>
        <w:tc>
          <w:tcPr>
            <w:tcW w:w="12395"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lang w:eastAsia="zh-CN"/>
              </w:rPr>
              <w:t>各种登记注册类型的法人单位、个体经营户、其他单位进行的计划总投资</w:t>
            </w:r>
            <w:r>
              <w:rPr>
                <w:rFonts w:hint="eastAsia" w:ascii="方正仿宋_GBK" w:hAnsi="方正仿宋_GBK" w:eastAsia="方正仿宋_GBK" w:cs="方正仿宋_GBK"/>
                <w:b w:val="0"/>
                <w:bCs w:val="0"/>
                <w:kern w:val="0"/>
                <w:sz w:val="24"/>
                <w:szCs w:val="24"/>
                <w:lang w:val="en-US" w:eastAsia="zh-CN"/>
              </w:rPr>
              <w:t>500万元及以上项目的投资情况，不包含农户。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jc w:val="center"/>
        </w:trPr>
        <w:tc>
          <w:tcPr>
            <w:tcW w:w="1779" w:type="dxa"/>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入统标准</w:t>
            </w:r>
          </w:p>
        </w:tc>
        <w:tc>
          <w:tcPr>
            <w:tcW w:w="12395" w:type="dxa"/>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1.项目计划总投资达到500万元以上；</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rPr>
              <w:t>2.达到统计制度规定的开工标准，具体要求：有土建工程的项目，开工时间以建设项目永久性工程开工，即正式破土开槽开始施工为入统标准，作为建筑物组成部分的正式打桩也算为开工。在此以前的准备工作，如工程地质勘察、平整场地、旧有建筑物拆除、临时建筑及施工用临时道路、水、电等工程均不算正式开工；无土建工程项目，需要安装的设备应在设备安装到位后为开工入统标准，不需要安装的单纯购置设备以设备到位并验收合格为开工入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jc w:val="center"/>
        </w:trPr>
        <w:tc>
          <w:tcPr>
            <w:tcW w:w="1779" w:type="dxa"/>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申报材料</w:t>
            </w:r>
          </w:p>
        </w:tc>
        <w:tc>
          <w:tcPr>
            <w:tcW w:w="12395" w:type="dxa"/>
            <w:tcBorders>
              <w:righ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lang w:val="en-US" w:eastAsia="zh-CN" w:bidi="ar-SA"/>
              </w:rPr>
              <w:t>1.</w:t>
            </w:r>
            <w:r>
              <w:rPr>
                <w:rFonts w:hint="eastAsia" w:ascii="方正仿宋_GBK" w:hAnsi="方正仿宋_GBK" w:eastAsia="方正仿宋_GBK" w:cs="方正仿宋_GBK"/>
                <w:b w:val="0"/>
                <w:bCs w:val="0"/>
                <w:kern w:val="0"/>
                <w:sz w:val="24"/>
                <w:szCs w:val="24"/>
              </w:rPr>
              <w:t>体现项目计划总投资的相关材料，如项目审批、核准、备案文件或其他可以证明计划总投资的文件材料；</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lang w:val="en-US" w:eastAsia="zh-CN" w:bidi="ar-SA"/>
              </w:rPr>
              <w:t>2.</w:t>
            </w:r>
            <w:r>
              <w:rPr>
                <w:rFonts w:hint="eastAsia" w:ascii="方正仿宋_GBK" w:hAnsi="方正仿宋_GBK" w:eastAsia="方正仿宋_GBK" w:cs="方正仿宋_GBK"/>
                <w:b w:val="0"/>
                <w:bCs w:val="0"/>
                <w:kern w:val="0"/>
                <w:sz w:val="24"/>
                <w:szCs w:val="24"/>
              </w:rPr>
              <w:t>证明项目已开工的相关材料，如施工合同、有拍摄时间和地点的施工现场照片等；</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val="0"/>
                <w:kern w:val="0"/>
                <w:sz w:val="24"/>
                <w:szCs w:val="24"/>
              </w:rPr>
            </w:pPr>
            <w:r>
              <w:rPr>
                <w:rFonts w:hint="eastAsia" w:ascii="方正仿宋_GBK" w:hAnsi="方正仿宋_GBK" w:eastAsia="方正仿宋_GBK" w:cs="方正仿宋_GBK"/>
                <w:b w:val="0"/>
                <w:bCs w:val="0"/>
                <w:kern w:val="0"/>
                <w:sz w:val="24"/>
                <w:szCs w:val="24"/>
                <w:lang w:val="en-US" w:eastAsia="zh-CN" w:bidi="ar-SA"/>
              </w:rPr>
              <w:t>3.</w:t>
            </w:r>
            <w:r>
              <w:rPr>
                <w:rFonts w:hint="eastAsia" w:ascii="方正仿宋_GBK" w:hAnsi="方正仿宋_GBK" w:eastAsia="方正仿宋_GBK" w:cs="方正仿宋_GBK"/>
                <w:b w:val="0"/>
                <w:bCs w:val="0"/>
                <w:kern w:val="0"/>
                <w:sz w:val="24"/>
                <w:szCs w:val="24"/>
              </w:rPr>
              <w:t>体现项目投资进度的相关材料，如反映项目属性和已完成投资的基本情况表、投资项目申请表、形象进度说明等。</w:t>
            </w:r>
          </w:p>
          <w:p>
            <w:pPr>
              <w:pStyle w:val="3"/>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kern w:val="0"/>
                <w:sz w:val="24"/>
                <w:szCs w:val="24"/>
                <w:lang w:val="en-US" w:eastAsia="zh-CN"/>
              </w:rPr>
              <w:t>4.组织机构代码证（或三证合一营业执照）、投资项目入库申请表。</w:t>
            </w:r>
          </w:p>
        </w:tc>
      </w:tr>
    </w:tbl>
    <w:p>
      <w:pPr>
        <w:pStyle w:val="3"/>
        <w:ind w:left="0" w:leftChars="0" w:firstLine="0" w:firstLineChars="0"/>
        <w:rPr>
          <w:rFonts w:hint="eastAsia" w:ascii="方正仿宋_GBK" w:hAnsi="方正仿宋_GBK" w:eastAsia="方正仿宋_GBK" w:cs="方正仿宋_GBK"/>
          <w:b w:val="0"/>
          <w:bCs w:val="0"/>
          <w:lang w:val="en-US" w:eastAsia="zh-CN"/>
        </w:rPr>
      </w:pPr>
    </w:p>
    <w:p>
      <w:pPr>
        <w:rPr>
          <w:rFonts w:hint="eastAsia" w:ascii="方正仿宋_GBK" w:hAnsi="方正仿宋_GBK" w:eastAsia="方正仿宋_GBK" w:cs="方正仿宋_GBK"/>
          <w:b w:val="0"/>
          <w:bCs w:val="0"/>
          <w:sz w:val="2"/>
          <w:szCs w:val="2"/>
          <w:lang w:val="en-US" w:eastAsia="zh-CN"/>
        </w:rPr>
      </w:pPr>
    </w:p>
    <w:p>
      <w:pPr>
        <w:rPr>
          <w:rFonts w:hint="eastAsia" w:ascii="方正仿宋_GBK" w:hAnsi="方正仿宋_GBK" w:eastAsia="方正仿宋_GBK" w:cs="方正仿宋_GBK"/>
          <w:b w:val="0"/>
          <w:bCs w:val="0"/>
          <w:sz w:val="2"/>
          <w:szCs w:val="2"/>
          <w:lang w:val="en-US" w:eastAsia="zh-CN"/>
        </w:rPr>
      </w:pPr>
    </w:p>
    <w:sectPr>
      <w:footerReference r:id="rId4" w:type="default"/>
      <w:pgSz w:w="16838" w:h="11906" w:orient="landscape"/>
      <w:pgMar w:top="1406" w:right="1440" w:bottom="1406"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00103"/>
    <w:rsid w:val="004D399D"/>
    <w:rsid w:val="00824069"/>
    <w:rsid w:val="01AC59EF"/>
    <w:rsid w:val="01CF07F9"/>
    <w:rsid w:val="02E41BD9"/>
    <w:rsid w:val="03272851"/>
    <w:rsid w:val="0353105C"/>
    <w:rsid w:val="042712FE"/>
    <w:rsid w:val="04AA529E"/>
    <w:rsid w:val="04F2236E"/>
    <w:rsid w:val="058E0867"/>
    <w:rsid w:val="059F717D"/>
    <w:rsid w:val="06BA1B2C"/>
    <w:rsid w:val="06F8121A"/>
    <w:rsid w:val="08564BF9"/>
    <w:rsid w:val="09565B9A"/>
    <w:rsid w:val="0B106E74"/>
    <w:rsid w:val="0B7C58BB"/>
    <w:rsid w:val="0BBF2615"/>
    <w:rsid w:val="0BCD4D32"/>
    <w:rsid w:val="0BE758A6"/>
    <w:rsid w:val="0C6E649A"/>
    <w:rsid w:val="0CD660E4"/>
    <w:rsid w:val="0E600103"/>
    <w:rsid w:val="0F112D22"/>
    <w:rsid w:val="0FC23FDA"/>
    <w:rsid w:val="102C07BA"/>
    <w:rsid w:val="10A116DB"/>
    <w:rsid w:val="114D3BD7"/>
    <w:rsid w:val="11C50D6B"/>
    <w:rsid w:val="12FC7CAB"/>
    <w:rsid w:val="142C5DFB"/>
    <w:rsid w:val="14974D47"/>
    <w:rsid w:val="14E21476"/>
    <w:rsid w:val="15075A95"/>
    <w:rsid w:val="151C2E1A"/>
    <w:rsid w:val="15857F48"/>
    <w:rsid w:val="16013E4F"/>
    <w:rsid w:val="16075213"/>
    <w:rsid w:val="16735D00"/>
    <w:rsid w:val="16B0574F"/>
    <w:rsid w:val="170D2414"/>
    <w:rsid w:val="1722386D"/>
    <w:rsid w:val="17780248"/>
    <w:rsid w:val="17D46DFC"/>
    <w:rsid w:val="17F908E1"/>
    <w:rsid w:val="19CF0524"/>
    <w:rsid w:val="19DE010A"/>
    <w:rsid w:val="1B9B65CB"/>
    <w:rsid w:val="1BC805C3"/>
    <w:rsid w:val="1C1C24C7"/>
    <w:rsid w:val="1C730FDE"/>
    <w:rsid w:val="1CCE23A4"/>
    <w:rsid w:val="1E116C95"/>
    <w:rsid w:val="1E30676E"/>
    <w:rsid w:val="1E957931"/>
    <w:rsid w:val="1EBC76B1"/>
    <w:rsid w:val="1EDC3DDE"/>
    <w:rsid w:val="1F3948C0"/>
    <w:rsid w:val="1F6A7D02"/>
    <w:rsid w:val="20A771F8"/>
    <w:rsid w:val="20C6452E"/>
    <w:rsid w:val="211E60B0"/>
    <w:rsid w:val="22153CF8"/>
    <w:rsid w:val="231B17A8"/>
    <w:rsid w:val="234C16A6"/>
    <w:rsid w:val="23736C38"/>
    <w:rsid w:val="24737E7B"/>
    <w:rsid w:val="24B30B11"/>
    <w:rsid w:val="25143B12"/>
    <w:rsid w:val="258D248E"/>
    <w:rsid w:val="2609257A"/>
    <w:rsid w:val="26297153"/>
    <w:rsid w:val="269107D4"/>
    <w:rsid w:val="277F0D47"/>
    <w:rsid w:val="27BB14D2"/>
    <w:rsid w:val="27F461A3"/>
    <w:rsid w:val="290C519D"/>
    <w:rsid w:val="299557AE"/>
    <w:rsid w:val="29A83A85"/>
    <w:rsid w:val="2A76713B"/>
    <w:rsid w:val="2A7A64AD"/>
    <w:rsid w:val="2AEC3EF4"/>
    <w:rsid w:val="2C451CB3"/>
    <w:rsid w:val="2C473DC9"/>
    <w:rsid w:val="2CF06633"/>
    <w:rsid w:val="2DBB1D23"/>
    <w:rsid w:val="2DF5786B"/>
    <w:rsid w:val="2EE21B1E"/>
    <w:rsid w:val="2F0337C1"/>
    <w:rsid w:val="300426F9"/>
    <w:rsid w:val="30653C62"/>
    <w:rsid w:val="30BA16F3"/>
    <w:rsid w:val="31160101"/>
    <w:rsid w:val="31633F23"/>
    <w:rsid w:val="31B14295"/>
    <w:rsid w:val="31D07E6C"/>
    <w:rsid w:val="321D67D2"/>
    <w:rsid w:val="33465781"/>
    <w:rsid w:val="334A0F9A"/>
    <w:rsid w:val="346C0259"/>
    <w:rsid w:val="347F1AA6"/>
    <w:rsid w:val="34F53CFE"/>
    <w:rsid w:val="35426EC2"/>
    <w:rsid w:val="35AF4F0A"/>
    <w:rsid w:val="370A7C5E"/>
    <w:rsid w:val="37AA0200"/>
    <w:rsid w:val="37BFE6B0"/>
    <w:rsid w:val="37D35905"/>
    <w:rsid w:val="37D93D79"/>
    <w:rsid w:val="37F9283D"/>
    <w:rsid w:val="38D01806"/>
    <w:rsid w:val="38E734C9"/>
    <w:rsid w:val="39FC040D"/>
    <w:rsid w:val="3A8000F6"/>
    <w:rsid w:val="3C911F25"/>
    <w:rsid w:val="3CC96483"/>
    <w:rsid w:val="3D015662"/>
    <w:rsid w:val="3D0C59F5"/>
    <w:rsid w:val="3D1C4FB2"/>
    <w:rsid w:val="3E0757A8"/>
    <w:rsid w:val="3EA0218E"/>
    <w:rsid w:val="3EB52DF9"/>
    <w:rsid w:val="3F2A1680"/>
    <w:rsid w:val="3FDD65EB"/>
    <w:rsid w:val="40273D0A"/>
    <w:rsid w:val="40974345"/>
    <w:rsid w:val="41B44E73"/>
    <w:rsid w:val="41BD1DD3"/>
    <w:rsid w:val="41E356A7"/>
    <w:rsid w:val="41EE53D9"/>
    <w:rsid w:val="42B25728"/>
    <w:rsid w:val="42FD3CA8"/>
    <w:rsid w:val="43015950"/>
    <w:rsid w:val="43695E91"/>
    <w:rsid w:val="453E0ED7"/>
    <w:rsid w:val="46290FF1"/>
    <w:rsid w:val="4690241E"/>
    <w:rsid w:val="46DD5DCF"/>
    <w:rsid w:val="473D438A"/>
    <w:rsid w:val="476720F8"/>
    <w:rsid w:val="47E33174"/>
    <w:rsid w:val="487A3570"/>
    <w:rsid w:val="49283D0A"/>
    <w:rsid w:val="496F2922"/>
    <w:rsid w:val="4A4C2CEB"/>
    <w:rsid w:val="4A622179"/>
    <w:rsid w:val="4A7144AC"/>
    <w:rsid w:val="4B17373C"/>
    <w:rsid w:val="4B690C40"/>
    <w:rsid w:val="4B7C0DDC"/>
    <w:rsid w:val="4C3F070D"/>
    <w:rsid w:val="4CD3324F"/>
    <w:rsid w:val="4D3C1263"/>
    <w:rsid w:val="4D466E92"/>
    <w:rsid w:val="4E0D453F"/>
    <w:rsid w:val="509F6A9E"/>
    <w:rsid w:val="50AC2FC3"/>
    <w:rsid w:val="51791995"/>
    <w:rsid w:val="51D41806"/>
    <w:rsid w:val="53D24F8B"/>
    <w:rsid w:val="53EB1E97"/>
    <w:rsid w:val="53ED668E"/>
    <w:rsid w:val="5498030D"/>
    <w:rsid w:val="561C36A1"/>
    <w:rsid w:val="56C137C7"/>
    <w:rsid w:val="56FA0D87"/>
    <w:rsid w:val="59B9557B"/>
    <w:rsid w:val="59DB1E55"/>
    <w:rsid w:val="59E94AAD"/>
    <w:rsid w:val="5ADB29C5"/>
    <w:rsid w:val="5B182F3E"/>
    <w:rsid w:val="5B591D6B"/>
    <w:rsid w:val="5C881E49"/>
    <w:rsid w:val="5E70027A"/>
    <w:rsid w:val="5EC53E5C"/>
    <w:rsid w:val="5ED3645C"/>
    <w:rsid w:val="5EFDA399"/>
    <w:rsid w:val="5F74227E"/>
    <w:rsid w:val="60F73BA2"/>
    <w:rsid w:val="62216AA8"/>
    <w:rsid w:val="6251690F"/>
    <w:rsid w:val="62E70177"/>
    <w:rsid w:val="63E357F7"/>
    <w:rsid w:val="6425617F"/>
    <w:rsid w:val="64581D25"/>
    <w:rsid w:val="64B57252"/>
    <w:rsid w:val="65E514A5"/>
    <w:rsid w:val="66B92094"/>
    <w:rsid w:val="66E373E5"/>
    <w:rsid w:val="671E6ED0"/>
    <w:rsid w:val="673C4912"/>
    <w:rsid w:val="67FD267C"/>
    <w:rsid w:val="682665A3"/>
    <w:rsid w:val="690C2195"/>
    <w:rsid w:val="69845274"/>
    <w:rsid w:val="6A1B43B6"/>
    <w:rsid w:val="6B5912AB"/>
    <w:rsid w:val="6B9B5D38"/>
    <w:rsid w:val="6CAD53C6"/>
    <w:rsid w:val="6CFF7742"/>
    <w:rsid w:val="6D8D614C"/>
    <w:rsid w:val="6DF11BA2"/>
    <w:rsid w:val="6E194AD5"/>
    <w:rsid w:val="6E502F16"/>
    <w:rsid w:val="6EB7C73F"/>
    <w:rsid w:val="6F9C410C"/>
    <w:rsid w:val="7046290E"/>
    <w:rsid w:val="70A12CB2"/>
    <w:rsid w:val="710A6049"/>
    <w:rsid w:val="71FFA662"/>
    <w:rsid w:val="72017630"/>
    <w:rsid w:val="72BB37FF"/>
    <w:rsid w:val="742C3C59"/>
    <w:rsid w:val="746B297A"/>
    <w:rsid w:val="74723976"/>
    <w:rsid w:val="74CE39B0"/>
    <w:rsid w:val="75AD3174"/>
    <w:rsid w:val="75E938B6"/>
    <w:rsid w:val="761A77C8"/>
    <w:rsid w:val="763B583E"/>
    <w:rsid w:val="76AB8E26"/>
    <w:rsid w:val="772F4856"/>
    <w:rsid w:val="778B45A3"/>
    <w:rsid w:val="77A3070F"/>
    <w:rsid w:val="78742ED4"/>
    <w:rsid w:val="7899791F"/>
    <w:rsid w:val="79CA1A4F"/>
    <w:rsid w:val="7AA664FD"/>
    <w:rsid w:val="7FC35521"/>
    <w:rsid w:val="7FCF6FF7"/>
    <w:rsid w:val="9CAD7A6B"/>
    <w:rsid w:val="AFFF7F0B"/>
    <w:rsid w:val="DF3DC150"/>
    <w:rsid w:val="EDF35311"/>
    <w:rsid w:val="F6EB6CC0"/>
    <w:rsid w:val="FB0FE313"/>
    <w:rsid w:val="FBFF456E"/>
    <w:rsid w:val="FDBFDFEC"/>
    <w:rsid w:val="FDDF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paragraph" w:customStyle="1" w:styleId="10">
    <w:name w:val="Salutation_23afa851-d5c3-4179-afb3-073e6d530fc0"/>
    <w:basedOn w:val="1"/>
    <w:next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7333</Words>
  <Characters>7399</Characters>
  <Lines>0</Lines>
  <Paragraphs>0</Paragraphs>
  <TotalTime>26</TotalTime>
  <ScaleCrop>false</ScaleCrop>
  <LinksUpToDate>false</LinksUpToDate>
  <CharactersWithSpaces>7399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2025-04-04T18:32:00Z</dcterms:created>
  <dc:creator>KrystalCC</dc:creator>
  <cp:lastModifiedBy>Administrator</cp:lastModifiedBy>
  <cp:lastPrinted>2025-06-14T06:59:00Z</cp:lastPrinted>
  <dcterms:modified xsi:type="dcterms:W3CDTF">2025-06-26T09:11:34Z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FA7895A1FC2E44909C73D13F57853D0E_13</vt:lpwstr>
  </property>
  <property fmtid="{D5CDD505-2E9C-101B-9397-08002B2CF9AE}" pid="4" name="KSOTemplateDocerSaveRecord">
    <vt:lpwstr>eyJoZGlkIjoiNjYxNzEyNzcyYjBmOTQ5N2M4NDZiN2NlYmJiYzY1OGUiLCJ1c2VySWQiOiI0OTcwNTc4MTkifQ==</vt:lpwstr>
  </property>
</Properties>
</file>