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D0169">
      <w:pPr>
        <w:keepNext w:val="0"/>
        <w:keepLines w:val="0"/>
        <w:pageBreakBefore w:val="0"/>
        <w:widowControl w:val="0"/>
        <w:kinsoku/>
        <w:wordWrap/>
        <w:overflowPunct/>
        <w:topLinePunct w:val="0"/>
        <w:bidi w:val="0"/>
        <w:snapToGrid/>
        <w:spacing w:line="520" w:lineRule="exact"/>
        <w:textAlignment w:val="auto"/>
        <w:rPr>
          <w:rFonts w:hint="eastAsia"/>
          <w:szCs w:val="32"/>
        </w:rPr>
      </w:pPr>
      <w:r>
        <w:rPr>
          <w:rFonts w:hint="eastAsia"/>
          <w:szCs w:val="32"/>
          <w:lang w:val="en-US" w:eastAsia="zh-CN"/>
        </w:rPr>
        <w:t xml:space="preserve">   </w:t>
      </w:r>
      <w:r>
        <w:rPr>
          <w:rFonts w:hint="eastAsia"/>
          <w:szCs w:val="32"/>
        </w:rPr>
        <w:t xml:space="preserve">   </w:t>
      </w:r>
      <w:r>
        <w:rPr>
          <w:rFonts w:hint="eastAsia"/>
          <w:szCs w:val="32"/>
          <w:lang w:val="en-US" w:eastAsia="zh-CN"/>
        </w:rPr>
        <w:t xml:space="preserve"> </w:t>
      </w:r>
      <w:r>
        <w:rPr>
          <w:rFonts w:hint="eastAsia"/>
          <w:szCs w:val="32"/>
        </w:rPr>
        <w:t xml:space="preserve">                                  </w:t>
      </w:r>
    </w:p>
    <w:p w14:paraId="47C5ABC6">
      <w:pPr>
        <w:keepNext w:val="0"/>
        <w:keepLines w:val="0"/>
        <w:pageBreakBefore w:val="0"/>
        <w:widowControl w:val="0"/>
        <w:kinsoku/>
        <w:wordWrap/>
        <w:overflowPunct/>
        <w:topLinePunct w:val="0"/>
        <w:bidi w:val="0"/>
        <w:snapToGrid/>
        <w:spacing w:line="520" w:lineRule="exact"/>
        <w:textAlignment w:val="auto"/>
        <w:rPr>
          <w:rFonts w:hint="eastAsia" w:eastAsia="仿宋_GB2312"/>
          <w:szCs w:val="32"/>
          <w:lang w:eastAsia="zh-CN"/>
        </w:rPr>
      </w:pPr>
    </w:p>
    <w:p w14:paraId="0E398B96">
      <w:pPr>
        <w:pStyle w:val="41"/>
        <w:keepNext w:val="0"/>
        <w:keepLines w:val="0"/>
        <w:pageBreakBefore w:val="0"/>
        <w:widowControl w:val="0"/>
        <w:kinsoku/>
        <w:wordWrap/>
        <w:overflowPunct/>
        <w:topLinePunct w:val="0"/>
        <w:bidi w:val="0"/>
        <w:snapToGrid/>
        <w:spacing w:line="520" w:lineRule="exact"/>
        <w:textAlignment w:val="auto"/>
        <w:rPr>
          <w:rFonts w:hint="eastAsia"/>
          <w:lang w:eastAsia="zh-CN"/>
        </w:rPr>
      </w:pPr>
    </w:p>
    <w:p w14:paraId="605892F7">
      <w:pPr>
        <w:keepNext w:val="0"/>
        <w:keepLines w:val="0"/>
        <w:pageBreakBefore w:val="0"/>
        <w:widowControl w:val="0"/>
        <w:kinsoku/>
        <w:wordWrap/>
        <w:overflowPunct/>
        <w:topLinePunct w:val="0"/>
        <w:bidi w:val="0"/>
        <w:snapToGrid/>
        <w:spacing w:line="520" w:lineRule="exact"/>
        <w:textAlignment w:val="auto"/>
        <w:rPr>
          <w:rFonts w:hint="eastAsia" w:eastAsia="仿宋_GB2312"/>
          <w:szCs w:val="32"/>
          <w:lang w:eastAsia="zh-CN"/>
        </w:rPr>
      </w:pPr>
    </w:p>
    <w:p w14:paraId="091DE42F">
      <w:pPr>
        <w:pStyle w:val="41"/>
        <w:keepNext w:val="0"/>
        <w:keepLines w:val="0"/>
        <w:pageBreakBefore w:val="0"/>
        <w:widowControl w:val="0"/>
        <w:kinsoku/>
        <w:wordWrap/>
        <w:overflowPunct/>
        <w:topLinePunct w:val="0"/>
        <w:bidi w:val="0"/>
        <w:snapToGrid/>
        <w:spacing w:line="520" w:lineRule="exact"/>
        <w:textAlignment w:val="auto"/>
        <w:rPr>
          <w:rFonts w:hint="eastAsia" w:eastAsia="仿宋_GB2312"/>
          <w:szCs w:val="32"/>
          <w:lang w:eastAsia="zh-CN"/>
        </w:rPr>
      </w:pPr>
    </w:p>
    <w:p w14:paraId="56B12D94">
      <w:pPr>
        <w:pStyle w:val="41"/>
        <w:keepNext w:val="0"/>
        <w:keepLines w:val="0"/>
        <w:pageBreakBefore w:val="0"/>
        <w:widowControl w:val="0"/>
        <w:kinsoku/>
        <w:wordWrap/>
        <w:overflowPunct/>
        <w:topLinePunct w:val="0"/>
        <w:bidi w:val="0"/>
        <w:snapToGrid/>
        <w:spacing w:line="520" w:lineRule="exact"/>
        <w:textAlignment w:val="auto"/>
        <w:rPr>
          <w:rFonts w:hint="eastAsia" w:eastAsia="仿宋_GB2312"/>
          <w:szCs w:val="32"/>
          <w:lang w:eastAsia="zh-CN"/>
        </w:rPr>
      </w:pPr>
    </w:p>
    <w:p w14:paraId="1F0FC6D2">
      <w:pPr>
        <w:keepNext w:val="0"/>
        <w:keepLines w:val="0"/>
        <w:pageBreakBefore w:val="0"/>
        <w:widowControl w:val="0"/>
        <w:kinsoku/>
        <w:wordWrap/>
        <w:overflowPunct/>
        <w:topLinePunct w:val="0"/>
        <w:bidi w:val="0"/>
        <w:snapToGrid/>
        <w:spacing w:line="520" w:lineRule="exact"/>
        <w:textAlignment w:val="auto"/>
        <w:rPr>
          <w:rFonts w:hint="eastAsia" w:eastAsia="仿宋_GB2312"/>
          <w:szCs w:val="32"/>
          <w:lang w:eastAsia="zh-CN"/>
        </w:rPr>
      </w:pPr>
    </w:p>
    <w:p w14:paraId="60131BEC">
      <w:pPr>
        <w:keepNext w:val="0"/>
        <w:keepLines w:val="0"/>
        <w:pageBreakBefore w:val="0"/>
        <w:widowControl w:val="0"/>
        <w:kinsoku/>
        <w:wordWrap/>
        <w:overflowPunct/>
        <w:topLinePunct w:val="0"/>
        <w:bidi w:val="0"/>
        <w:snapToGrid/>
        <w:spacing w:line="520" w:lineRule="exact"/>
        <w:textAlignment w:val="auto"/>
        <w:rPr>
          <w:rFonts w:hint="eastAsia"/>
          <w:szCs w:val="32"/>
        </w:rPr>
      </w:pPr>
    </w:p>
    <w:p w14:paraId="0A91D37A">
      <w:pPr>
        <w:keepNext w:val="0"/>
        <w:keepLines w:val="0"/>
        <w:pageBreakBefore w:val="0"/>
        <w:widowControl w:val="0"/>
        <w:kinsoku/>
        <w:wordWrap/>
        <w:overflowPunct/>
        <w:topLinePunct w:val="0"/>
        <w:autoSpaceDE/>
        <w:autoSpaceDN/>
        <w:bidi w:val="0"/>
        <w:adjustRightInd/>
        <w:snapToGrid/>
        <w:spacing w:line="520" w:lineRule="exact"/>
        <w:ind w:right="320" w:rightChars="100"/>
        <w:jc w:val="center"/>
        <w:textAlignment w:val="auto"/>
        <w:rPr>
          <w:rFonts w:hint="eastAsia" w:ascii="仿宋" w:hAnsi="仿宋" w:eastAsia="仿宋"/>
          <w:color w:val="000000"/>
          <w:szCs w:val="32"/>
          <w:lang w:val="en-US" w:eastAsia="zh-CN"/>
        </w:rPr>
      </w:pPr>
      <w:r>
        <w:rPr>
          <w:rFonts w:hint="eastAsia" w:ascii="仿宋" w:hAnsi="仿宋" w:eastAsia="仿宋"/>
          <w:color w:val="000000"/>
          <w:szCs w:val="32"/>
        </w:rPr>
        <w:t>绥医保</w:t>
      </w:r>
      <w:r>
        <w:rPr>
          <w:rFonts w:hint="eastAsia" w:ascii="仿宋" w:hAnsi="仿宋" w:eastAsia="仿宋"/>
          <w:color w:val="000000"/>
          <w:szCs w:val="32"/>
          <w:lang w:val="en-US" w:eastAsia="zh-CN"/>
        </w:rPr>
        <w:t>规</w:t>
      </w:r>
      <w:r>
        <w:rPr>
          <w:rFonts w:hint="eastAsia" w:ascii="仿宋" w:hAnsi="仿宋" w:eastAsia="仿宋" w:cs="仿宋"/>
          <w:color w:val="000000"/>
          <w:szCs w:val="32"/>
        </w:rPr>
        <w:t>〔</w:t>
      </w:r>
      <w:r>
        <w:rPr>
          <w:rFonts w:hint="eastAsia" w:ascii="仿宋" w:hAnsi="仿宋" w:eastAsia="仿宋"/>
          <w:color w:val="000000"/>
          <w:szCs w:val="32"/>
        </w:rPr>
        <w:t>20</w:t>
      </w:r>
      <w:r>
        <w:rPr>
          <w:rFonts w:hint="eastAsia" w:ascii="仿宋" w:hAnsi="仿宋" w:eastAsia="仿宋"/>
          <w:color w:val="000000"/>
          <w:szCs w:val="32"/>
          <w:lang w:val="en-US" w:eastAsia="zh-CN"/>
        </w:rPr>
        <w:t>25</w:t>
      </w:r>
      <w:r>
        <w:rPr>
          <w:rFonts w:hint="eastAsia" w:ascii="仿宋" w:hAnsi="仿宋" w:eastAsia="仿宋" w:cs="仿宋"/>
          <w:color w:val="000000"/>
          <w:szCs w:val="32"/>
        </w:rPr>
        <w:t>〕</w:t>
      </w:r>
      <w:r>
        <w:rPr>
          <w:rFonts w:hint="eastAsia" w:ascii="仿宋" w:hAnsi="仿宋" w:eastAsia="仿宋"/>
          <w:color w:val="000000"/>
          <w:szCs w:val="32"/>
          <w:lang w:val="en-US" w:eastAsia="zh-CN"/>
        </w:rPr>
        <w:t>4</w:t>
      </w:r>
      <w:r>
        <w:rPr>
          <w:rFonts w:hint="eastAsia" w:ascii="仿宋" w:hAnsi="仿宋" w:eastAsia="仿宋"/>
          <w:color w:val="000000"/>
          <w:szCs w:val="32"/>
        </w:rPr>
        <w:t>号</w:t>
      </w:r>
    </w:p>
    <w:p w14:paraId="5E11E615">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Theme="majorEastAsia" w:hAnsiTheme="majorEastAsia" w:eastAsiaTheme="majorEastAsia" w:cstheme="majorEastAsia"/>
          <w:b/>
          <w:bCs/>
          <w:sz w:val="44"/>
          <w:szCs w:val="44"/>
          <w:highlight w:val="none"/>
          <w:lang w:eastAsia="zh-CN"/>
        </w:rPr>
      </w:pPr>
    </w:p>
    <w:p w14:paraId="3EA008BA">
      <w:pPr>
        <w:spacing w:line="66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关于印发《绥化市医疗保障定点医药机构</w:t>
      </w:r>
    </w:p>
    <w:p w14:paraId="191F6DE4">
      <w:pPr>
        <w:spacing w:line="6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44"/>
        </w:rPr>
        <w:t>资源配置实施细则（试行）》的通知</w:t>
      </w:r>
    </w:p>
    <w:bookmarkEnd w:id="0"/>
    <w:p w14:paraId="77EC32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szCs w:val="32"/>
        </w:rPr>
      </w:pPr>
      <w:r>
        <w:rPr>
          <w:rFonts w:hint="eastAsia" w:ascii="仿宋_GB2312" w:hAnsi="仿宋_GB2312" w:cs="仿宋_GB2312"/>
          <w:szCs w:val="32"/>
        </w:rPr>
        <w:t xml:space="preserve"> </w:t>
      </w:r>
    </w:p>
    <w:p w14:paraId="45A4C7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各县（市、区）医疗保障局，市医疗保险服务中心：</w:t>
      </w:r>
    </w:p>
    <w:p w14:paraId="2B480E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现将《绥化市医疗保障定点医药机构资源配置实施细则（试行）》印发给你们，请认真贯彻执行。</w:t>
      </w:r>
    </w:p>
    <w:p w14:paraId="5998BF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p>
    <w:p w14:paraId="6A382C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p>
    <w:p w14:paraId="7470A2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绥化市医疗保障局     </w:t>
      </w:r>
    </w:p>
    <w:p w14:paraId="4E33E63F">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kern w:val="2"/>
          <w:sz w:val="32"/>
          <w:szCs w:val="32"/>
          <w:lang w:val="en-US" w:eastAsia="zh-CN" w:bidi="ar-SA"/>
        </w:rPr>
        <w:t xml:space="preserve">                                 2025年9月30日</w:t>
      </w:r>
    </w:p>
    <w:p w14:paraId="6A5DDF57">
      <w:pPr>
        <w:pStyle w:val="12"/>
        <w:keepNext w:val="0"/>
        <w:keepLines w:val="0"/>
        <w:pageBreakBefore w:val="0"/>
        <w:widowControl w:val="0"/>
        <w:kinsoku/>
        <w:wordWrap/>
        <w:overflowPunct/>
        <w:topLinePunct w:val="0"/>
        <w:autoSpaceDE/>
        <w:autoSpaceDN/>
        <w:bidi w:val="0"/>
        <w:adjustRightInd/>
        <w:snapToGrid/>
        <w:spacing w:line="700" w:lineRule="exact"/>
        <w:ind w:firstLine="880" w:firstLineChars="200"/>
        <w:jc w:val="both"/>
        <w:textAlignment w:val="auto"/>
        <w:rPr>
          <w:rFonts w:hint="eastAsia" w:ascii="方正小标宋简体" w:hAnsi="方正小标宋简体" w:eastAsia="方正小标宋简体" w:cs="方正小标宋简体"/>
          <w:sz w:val="44"/>
          <w:szCs w:val="44"/>
          <w:lang w:val="en-US" w:eastAsia="zh-CN"/>
        </w:rPr>
      </w:pPr>
    </w:p>
    <w:p w14:paraId="39FB9D1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val="en-US" w:eastAsia="zh-CN"/>
        </w:rPr>
      </w:pPr>
    </w:p>
    <w:p w14:paraId="54A59FC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绥化市医疗保障定点医药机构</w:t>
      </w:r>
    </w:p>
    <w:p w14:paraId="1535959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资源配置</w:t>
      </w:r>
      <w:r>
        <w:rPr>
          <w:rFonts w:hint="eastAsia" w:ascii="方正小标宋简体" w:hAnsi="方正小标宋简体" w:eastAsia="方正小标宋简体" w:cs="方正小标宋简体"/>
          <w:b w:val="0"/>
          <w:bCs w:val="0"/>
          <w:sz w:val="44"/>
          <w:szCs w:val="44"/>
          <w:lang w:val="en-US" w:eastAsia="zh-CN"/>
        </w:rPr>
        <w:t>实施细则（试行）</w:t>
      </w:r>
    </w:p>
    <w:p w14:paraId="1EF782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p>
    <w:p w14:paraId="1BE8B8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b w:val="0"/>
          <w:bCs w:val="0"/>
          <w:color w:val="000000"/>
          <w:sz w:val="32"/>
          <w:szCs w:val="32"/>
        </w:rPr>
      </w:pPr>
      <w:r>
        <w:rPr>
          <w:rFonts w:ascii="仿宋_GB2312" w:hAnsi="仿宋_GB2312" w:eastAsia="仿宋_GB2312" w:cs="仿宋_GB2312"/>
          <w:b w:val="0"/>
          <w:bCs w:val="0"/>
          <w:color w:val="000000"/>
          <w:sz w:val="32"/>
          <w:szCs w:val="32"/>
        </w:rPr>
        <w:t>为深化医药卫生体制改革，促进医疗保障事业健康发展，</w:t>
      </w:r>
      <w:r>
        <w:rPr>
          <w:rFonts w:hint="eastAsia" w:ascii="仿宋_GB2312" w:hAnsi="仿宋_GB2312" w:eastAsia="仿宋_GB2312" w:cs="仿宋_GB2312"/>
          <w:b w:val="0"/>
          <w:bCs w:val="0"/>
          <w:color w:val="000000"/>
          <w:sz w:val="32"/>
          <w:szCs w:val="32"/>
          <w:lang w:val="en-US" w:eastAsia="zh-CN"/>
        </w:rPr>
        <w:t>建立健全进出有序的定点医药机构动态管理机制，促进医药机构高质量发展，提高医保基金使用效率，</w:t>
      </w:r>
      <w:r>
        <w:rPr>
          <w:rFonts w:ascii="仿宋_GB2312" w:hAnsi="仿宋_GB2312" w:eastAsia="仿宋_GB2312" w:cs="仿宋_GB2312"/>
          <w:b w:val="0"/>
          <w:bCs w:val="0"/>
          <w:color w:val="000000"/>
          <w:sz w:val="32"/>
          <w:szCs w:val="32"/>
        </w:rPr>
        <w:t>保证医疗保障制度更加公平、可持续，保障参保人员的基本医疗服务需求，根据《“健康中国2030”规划纲要</w:t>
      </w:r>
      <w:r>
        <w:rPr>
          <w:rFonts w:hint="eastAsia" w:ascii="仿宋_GB2312" w:hAnsi="仿宋_GB2312" w:eastAsia="仿宋_GB2312" w:cs="仿宋_GB2312"/>
          <w:b w:val="0"/>
          <w:bCs w:val="0"/>
          <w:color w:val="000000"/>
          <w:sz w:val="32"/>
          <w:szCs w:val="32"/>
          <w:lang w:eastAsia="zh-CN"/>
        </w:rPr>
        <w:t>》《</w:t>
      </w:r>
      <w:r>
        <w:rPr>
          <w:rFonts w:ascii="仿宋_GB2312" w:hAnsi="仿宋_GB2312" w:eastAsia="仿宋_GB2312" w:cs="仿宋_GB2312"/>
          <w:b w:val="0"/>
          <w:bCs w:val="0"/>
          <w:color w:val="000000"/>
          <w:sz w:val="32"/>
          <w:szCs w:val="32"/>
        </w:rPr>
        <w:t>医疗保障基金使用监督管理条例</w:t>
      </w:r>
      <w:r>
        <w:rPr>
          <w:rFonts w:hint="eastAsia" w:ascii="仿宋_GB2312" w:hAnsi="仿宋_GB2312" w:eastAsia="仿宋_GB2312" w:cs="仿宋_GB2312"/>
          <w:b w:val="0"/>
          <w:bCs w:val="0"/>
          <w:color w:val="000000"/>
          <w:sz w:val="32"/>
          <w:szCs w:val="32"/>
          <w:lang w:eastAsia="zh-CN"/>
        </w:rPr>
        <w:t>》《</w:t>
      </w:r>
      <w:r>
        <w:rPr>
          <w:rFonts w:ascii="仿宋_GB2312" w:hAnsi="仿宋_GB2312" w:eastAsia="仿宋_GB2312" w:cs="仿宋_GB2312"/>
          <w:b w:val="0"/>
          <w:bCs w:val="0"/>
          <w:color w:val="000000"/>
          <w:sz w:val="32"/>
          <w:szCs w:val="32"/>
        </w:rPr>
        <w:t>医疗机构医疗保障定点管理暂行办法》</w:t>
      </w:r>
      <w:r>
        <w:rPr>
          <w:rFonts w:hint="eastAsia" w:ascii="仿宋_GB2312" w:hAnsi="仿宋_GB2312" w:eastAsia="仿宋_GB2312" w:cs="仿宋_GB2312"/>
          <w:b w:val="0"/>
          <w:bCs w:val="0"/>
          <w:color w:val="000000"/>
          <w:sz w:val="32"/>
          <w:szCs w:val="32"/>
        </w:rPr>
        <w:t>（国家医疗保障局令第2号）</w:t>
      </w:r>
      <w:r>
        <w:rPr>
          <w:rFonts w:hint="eastAsia" w:ascii="仿宋_GB2312" w:hAnsi="仿宋_GB2312" w:eastAsia="仿宋_GB2312" w:cs="仿宋_GB2312"/>
          <w:b w:val="0"/>
          <w:bCs w:val="0"/>
          <w:color w:val="000000"/>
          <w:sz w:val="32"/>
          <w:szCs w:val="32"/>
          <w:lang w:eastAsia="zh-CN"/>
        </w:rPr>
        <w:t>、</w:t>
      </w:r>
      <w:r>
        <w:rPr>
          <w:rFonts w:ascii="仿宋_GB2312" w:hAnsi="仿宋_GB2312" w:eastAsia="仿宋_GB2312" w:cs="仿宋_GB2312"/>
          <w:b w:val="0"/>
          <w:bCs w:val="0"/>
          <w:color w:val="000000"/>
          <w:sz w:val="32"/>
          <w:szCs w:val="32"/>
        </w:rPr>
        <w:t>《零售药店医疗保障定点管理暂行办法》</w:t>
      </w:r>
      <w:r>
        <w:rPr>
          <w:rFonts w:hint="eastAsia" w:ascii="仿宋_GB2312" w:hAnsi="仿宋_GB2312" w:eastAsia="仿宋_GB2312" w:cs="仿宋_GB2312"/>
          <w:b w:val="0"/>
          <w:bCs w:val="0"/>
          <w:color w:val="000000"/>
          <w:sz w:val="32"/>
          <w:szCs w:val="32"/>
        </w:rPr>
        <w:t>（国家医疗保障局令第</w:t>
      </w: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rPr>
        <w:t>号）</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黑龙江省医疗保障局</w:t>
      </w:r>
      <w:r>
        <w:rPr>
          <w:rFonts w:hint="eastAsia" w:ascii="仿宋_GB2312" w:hAnsi="仿宋_GB2312" w:eastAsia="仿宋_GB2312" w:cs="仿宋_GB2312"/>
          <w:b w:val="0"/>
          <w:bCs w:val="0"/>
          <w:color w:val="000000"/>
          <w:sz w:val="32"/>
          <w:szCs w:val="32"/>
          <w:lang w:eastAsia="zh-CN"/>
        </w:rPr>
        <w:t>《关于优化医保定点医药机构资源配置的指导意见（试行》）</w:t>
      </w:r>
      <w:r>
        <w:rPr>
          <w:rFonts w:hint="eastAsia" w:ascii="仿宋_GB2312" w:hAnsi="仿宋_GB2312" w:eastAsia="仿宋_GB2312" w:cs="仿宋_GB2312"/>
          <w:b w:val="0"/>
          <w:bCs w:val="0"/>
          <w:color w:val="000000"/>
          <w:sz w:val="32"/>
          <w:szCs w:val="32"/>
          <w:lang w:val="en-US" w:eastAsia="zh-CN"/>
        </w:rPr>
        <w:t>等</w:t>
      </w:r>
      <w:r>
        <w:rPr>
          <w:rFonts w:ascii="仿宋_GB2312" w:hAnsi="仿宋_GB2312" w:eastAsia="仿宋_GB2312" w:cs="仿宋_GB2312"/>
          <w:b w:val="0"/>
          <w:bCs w:val="0"/>
          <w:color w:val="000000"/>
          <w:sz w:val="32"/>
          <w:szCs w:val="32"/>
        </w:rPr>
        <w:t>文件精神，结合</w:t>
      </w:r>
      <w:r>
        <w:rPr>
          <w:rFonts w:hint="eastAsia" w:ascii="仿宋_GB2312" w:hAnsi="仿宋_GB2312" w:eastAsia="仿宋_GB2312" w:cs="仿宋_GB2312"/>
          <w:b w:val="0"/>
          <w:bCs w:val="0"/>
          <w:color w:val="000000"/>
          <w:sz w:val="32"/>
          <w:szCs w:val="32"/>
          <w:lang w:val="en-US" w:eastAsia="zh-CN"/>
        </w:rPr>
        <w:t>我</w:t>
      </w:r>
      <w:r>
        <w:rPr>
          <w:rFonts w:ascii="仿宋_GB2312" w:hAnsi="仿宋_GB2312" w:eastAsia="仿宋_GB2312" w:cs="仿宋_GB2312"/>
          <w:b w:val="0"/>
          <w:bCs w:val="0"/>
          <w:color w:val="000000"/>
          <w:sz w:val="32"/>
          <w:szCs w:val="32"/>
        </w:rPr>
        <w:t>市实际，制定本</w:t>
      </w:r>
      <w:r>
        <w:rPr>
          <w:rFonts w:hint="eastAsia" w:ascii="仿宋_GB2312" w:hAnsi="仿宋_GB2312" w:eastAsia="仿宋_GB2312" w:cs="仿宋_GB2312"/>
          <w:b w:val="0"/>
          <w:bCs w:val="0"/>
          <w:color w:val="000000"/>
          <w:sz w:val="32"/>
          <w:szCs w:val="32"/>
          <w:lang w:val="en-US" w:eastAsia="zh-CN"/>
        </w:rPr>
        <w:t>实施细则</w:t>
      </w:r>
      <w:r>
        <w:rPr>
          <w:rFonts w:ascii="仿宋_GB2312" w:hAnsi="仿宋_GB2312" w:eastAsia="仿宋_GB2312" w:cs="仿宋_GB2312"/>
          <w:b w:val="0"/>
          <w:bCs w:val="0"/>
          <w:color w:val="000000"/>
          <w:sz w:val="32"/>
          <w:szCs w:val="32"/>
        </w:rPr>
        <w:t>。</w:t>
      </w:r>
    </w:p>
    <w:p w14:paraId="329D9D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一、指导思想</w:t>
      </w:r>
    </w:p>
    <w:p w14:paraId="7FA324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ascii="仿宋_GB2312" w:hAnsi="仿宋_GB2312" w:eastAsia="仿宋_GB2312" w:cs="仿宋_GB2312"/>
          <w:b w:val="0"/>
          <w:bCs w:val="0"/>
          <w:color w:val="000000"/>
          <w:sz w:val="32"/>
          <w:szCs w:val="32"/>
        </w:rPr>
        <w:t>以习近平新时代中国特色社会主义思想为指导，</w:t>
      </w:r>
      <w:r>
        <w:rPr>
          <w:rFonts w:hint="eastAsia" w:ascii="仿宋_GB2312" w:hAnsi="仿宋_GB2312" w:eastAsia="仿宋_GB2312" w:cs="仿宋_GB2312"/>
          <w:b w:val="0"/>
          <w:bCs w:val="0"/>
          <w:color w:val="000000"/>
          <w:sz w:val="32"/>
          <w:szCs w:val="32"/>
        </w:rPr>
        <w:t>全面贯彻党的二十大和二十届二中、三中全会精神，</w:t>
      </w:r>
      <w:r>
        <w:rPr>
          <w:rFonts w:ascii="仿宋_GB2312" w:hAnsi="仿宋_GB2312" w:eastAsia="仿宋_GB2312" w:cs="仿宋_GB2312"/>
          <w:b w:val="0"/>
          <w:bCs w:val="0"/>
          <w:color w:val="000000"/>
          <w:sz w:val="32"/>
          <w:szCs w:val="32"/>
        </w:rPr>
        <w:t>积极贯彻新发展理念，突出医疗、医保、医药“三医”联动和医药卫生体制创新，坚持以人民健康为中心，</w:t>
      </w:r>
      <w:r>
        <w:rPr>
          <w:rFonts w:hint="eastAsia" w:ascii="仿宋_GB2312" w:hAnsi="仿宋_GB2312" w:eastAsia="仿宋_GB2312" w:cs="仿宋_GB2312"/>
          <w:b w:val="0"/>
          <w:bCs w:val="0"/>
          <w:color w:val="000000"/>
          <w:sz w:val="32"/>
          <w:szCs w:val="32"/>
        </w:rPr>
        <w:t>坚持稳中求进、以进促稳，合理优化医保定点医药服务资源配置，</w:t>
      </w:r>
      <w:r>
        <w:rPr>
          <w:rFonts w:hint="eastAsia" w:ascii="仿宋_GB2312" w:hAnsi="仿宋_GB2312" w:eastAsia="仿宋_GB2312" w:cs="仿宋_GB2312"/>
          <w:b w:val="0"/>
          <w:bCs w:val="0"/>
          <w:color w:val="000000"/>
          <w:sz w:val="32"/>
          <w:szCs w:val="32"/>
          <w:lang w:val="en-US" w:eastAsia="zh-CN"/>
        </w:rPr>
        <w:t>持续</w:t>
      </w:r>
      <w:r>
        <w:rPr>
          <w:rFonts w:ascii="仿宋_GB2312" w:hAnsi="仿宋_GB2312" w:eastAsia="仿宋_GB2312" w:cs="仿宋_GB2312"/>
          <w:b w:val="0"/>
          <w:bCs w:val="0"/>
          <w:color w:val="000000"/>
          <w:sz w:val="32"/>
          <w:szCs w:val="32"/>
        </w:rPr>
        <w:t>加强医保精细化管理，为参保人员提供适宜医药服务，</w:t>
      </w:r>
      <w:r>
        <w:rPr>
          <w:rFonts w:hint="eastAsia" w:ascii="仿宋_GB2312" w:hAnsi="仿宋_GB2312" w:eastAsia="仿宋_GB2312" w:cs="仿宋_GB2312"/>
          <w:b w:val="0"/>
          <w:bCs w:val="0"/>
          <w:color w:val="000000"/>
          <w:sz w:val="32"/>
          <w:szCs w:val="32"/>
        </w:rPr>
        <w:t>全面筑牢医保基金安全防线，</w:t>
      </w:r>
      <w:r>
        <w:rPr>
          <w:rFonts w:ascii="仿宋_GB2312" w:hAnsi="仿宋_GB2312" w:eastAsia="仿宋_GB2312" w:cs="仿宋_GB2312"/>
          <w:b w:val="0"/>
          <w:bCs w:val="0"/>
          <w:color w:val="000000"/>
          <w:sz w:val="32"/>
          <w:szCs w:val="32"/>
        </w:rPr>
        <w:t>更好地保障广大参保人员权益。</w:t>
      </w:r>
    </w:p>
    <w:p w14:paraId="0C34A0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二、基本原则</w:t>
      </w:r>
    </w:p>
    <w:p w14:paraId="3A5FE4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（一）坚持保障基本、基金支撑原则。</w:t>
      </w:r>
      <w:r>
        <w:rPr>
          <w:rFonts w:hint="eastAsia" w:ascii="仿宋_GB2312" w:hAnsi="仿宋_GB2312" w:eastAsia="仿宋_GB2312" w:cs="仿宋_GB2312"/>
          <w:b w:val="0"/>
          <w:bCs w:val="0"/>
          <w:color w:val="000000"/>
          <w:sz w:val="32"/>
          <w:szCs w:val="32"/>
        </w:rPr>
        <w:t>坚持保障适度需求，</w:t>
      </w:r>
      <w:r>
        <w:rPr>
          <w:rFonts w:hint="eastAsia" w:ascii="仿宋_GB2312" w:hAnsi="仿宋_GB2312" w:eastAsia="仿宋_GB2312" w:cs="仿宋_GB2312"/>
          <w:b w:val="0"/>
          <w:bCs w:val="0"/>
          <w:color w:val="000000"/>
          <w:sz w:val="32"/>
          <w:szCs w:val="32"/>
          <w:lang w:eastAsia="zh-CN"/>
        </w:rPr>
        <w:t>尽力而为、量力而行</w:t>
      </w:r>
      <w:r>
        <w:rPr>
          <w:rFonts w:hint="eastAsia" w:ascii="仿宋_GB2312" w:hAnsi="仿宋_GB2312" w:eastAsia="仿宋_GB2312" w:cs="仿宋_GB2312"/>
          <w:b w:val="0"/>
          <w:bCs w:val="0"/>
          <w:color w:val="000000"/>
          <w:sz w:val="32"/>
          <w:szCs w:val="32"/>
        </w:rPr>
        <w:t>，根据经济发展水平，医保基金支付能力等情况进行宏观调控。</w:t>
      </w:r>
      <w:r>
        <w:rPr>
          <w:rFonts w:hint="eastAsia" w:ascii="仿宋_GB2312" w:hAnsi="仿宋_GB2312" w:eastAsia="仿宋_GB2312" w:cs="仿宋_GB2312"/>
          <w:b w:val="0"/>
          <w:bCs w:val="0"/>
          <w:color w:val="000000"/>
          <w:sz w:val="32"/>
          <w:szCs w:val="32"/>
          <w:lang w:val="en-US" w:eastAsia="zh-CN"/>
        </w:rPr>
        <w:t>以参保人员基本就医购药需求为导向，以调整布局结构、提升服务能力为主线，遵循“调整存量，优化增量，提高质量”，科学合理规划各级各类定点医药机构的数量及布局。</w:t>
      </w:r>
    </w:p>
    <w:p w14:paraId="61078C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（二）坚持区域平衡、合理布局原则。</w:t>
      </w:r>
      <w:r>
        <w:rPr>
          <w:rFonts w:hint="eastAsia" w:ascii="仿宋_GB2312" w:hAnsi="仿宋_GB2312" w:eastAsia="仿宋_GB2312" w:cs="仿宋_GB2312"/>
          <w:b w:val="0"/>
          <w:bCs w:val="0"/>
          <w:color w:val="000000"/>
          <w:sz w:val="32"/>
          <w:szCs w:val="32"/>
          <w:lang w:val="en-US" w:eastAsia="zh-CN"/>
        </w:rPr>
        <w:t>充分发挥基层医疗机构的作用，引导患者合理分流，减轻大医院就诊压力，注重区域间医药资源的均衡配置，补充薄弱环节，提高医药资源的整体利用效率。尽量使不同地区的参保人员都能享受到相对公平的医药服务，注重不同级别定点医药机构的均衡发展，保障医药服务的可及性。</w:t>
      </w:r>
    </w:p>
    <w:p w14:paraId="42F0B3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（三）坚持统筹规划、协调发展原则。</w:t>
      </w:r>
      <w:r>
        <w:rPr>
          <w:rFonts w:hint="eastAsia" w:ascii="仿宋_GB2312" w:hAnsi="仿宋_GB2312" w:eastAsia="仿宋_GB2312" w:cs="仿宋_GB2312"/>
          <w:b w:val="0"/>
          <w:bCs w:val="0"/>
          <w:color w:val="000000"/>
          <w:sz w:val="32"/>
          <w:szCs w:val="32"/>
          <w:lang w:val="en-US" w:eastAsia="zh-CN"/>
        </w:rPr>
        <w:t>综合考虑人口增长、老龄化趋势、医疗技术进步等因素，提前布局，确保医保定点服务能够长期稳定地满足民众的需求。不断对医保定点机构进行动态评估和调整，统筹指导、调控定点医药机构资源，营造各定点医药机构公平竞争的发展环境，以适应不断变化的医药市场和民众需求。</w:t>
      </w:r>
    </w:p>
    <w:p w14:paraId="53B50F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（四）坚持公开透明、竞争有序原则。</w:t>
      </w:r>
      <w:r>
        <w:rPr>
          <w:rFonts w:hint="eastAsia" w:ascii="仿宋_GB2312" w:hAnsi="仿宋_GB2312" w:eastAsia="仿宋_GB2312" w:cs="仿宋_GB2312"/>
          <w:b w:val="0"/>
          <w:bCs w:val="0"/>
          <w:color w:val="000000"/>
          <w:sz w:val="32"/>
          <w:szCs w:val="32"/>
          <w:lang w:val="en-US" w:eastAsia="zh-CN"/>
        </w:rPr>
        <w:t>在确定医保定点机构的规划时，广泛征求医药机构、参保人员、专家学者等社会各界的意见，充分了解不同群体的需求和关切，确保规划的公正性和合理性。在保证医药服务质量的前提下，适当引入竞争机制，优胜劣汰，激励定点医药机构提高服务水平和效率。</w:t>
      </w:r>
    </w:p>
    <w:p w14:paraId="0007E1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三、总体目标</w:t>
      </w:r>
    </w:p>
    <w:p w14:paraId="6B1DFE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综合考虑《医疗机构医疗保障定点管理暂行办法</w:t>
      </w:r>
      <w:r>
        <w:rPr>
          <w:rFonts w:hint="eastAsia" w:ascii="仿宋_GB2312" w:hAnsi="仿宋_GB2312" w:eastAsia="仿宋_GB2312" w:cs="仿宋_GB2312"/>
          <w:b w:val="0"/>
          <w:bCs w:val="0"/>
          <w:color w:val="000000"/>
          <w:sz w:val="32"/>
          <w:szCs w:val="32"/>
          <w:lang w:val="en-US" w:eastAsia="zh-CN"/>
        </w:rPr>
        <w:t>》《</w:t>
      </w:r>
      <w:r>
        <w:rPr>
          <w:rFonts w:hint="default" w:ascii="仿宋_GB2312" w:hAnsi="仿宋_GB2312" w:eastAsia="仿宋_GB2312" w:cs="仿宋_GB2312"/>
          <w:b w:val="0"/>
          <w:bCs w:val="0"/>
          <w:color w:val="000000"/>
          <w:sz w:val="32"/>
          <w:szCs w:val="32"/>
          <w:lang w:val="en-US" w:eastAsia="zh-CN"/>
        </w:rPr>
        <w:t>零售药店医疗保障定点管理暂行办法》中各级各类</w:t>
      </w:r>
      <w:r>
        <w:rPr>
          <w:rFonts w:hint="eastAsia" w:ascii="仿宋_GB2312" w:hAnsi="仿宋_GB2312" w:eastAsia="仿宋_GB2312" w:cs="仿宋_GB2312"/>
          <w:b w:val="0"/>
          <w:bCs w:val="0"/>
          <w:color w:val="000000"/>
          <w:sz w:val="32"/>
          <w:szCs w:val="32"/>
          <w:lang w:val="en-US" w:eastAsia="zh-CN"/>
        </w:rPr>
        <w:t>医药</w:t>
      </w:r>
      <w:r>
        <w:rPr>
          <w:rFonts w:hint="default" w:ascii="仿宋_GB2312" w:hAnsi="仿宋_GB2312" w:eastAsia="仿宋_GB2312" w:cs="仿宋_GB2312"/>
          <w:b w:val="0"/>
          <w:bCs w:val="0"/>
          <w:color w:val="000000"/>
          <w:sz w:val="32"/>
          <w:szCs w:val="32"/>
          <w:lang w:val="en-US" w:eastAsia="zh-CN"/>
        </w:rPr>
        <w:t>机构医师、</w:t>
      </w:r>
      <w:r>
        <w:rPr>
          <w:rFonts w:hint="eastAsia" w:ascii="仿宋_GB2312" w:hAnsi="仿宋_GB2312" w:eastAsia="仿宋_GB2312" w:cs="仿宋_GB2312"/>
          <w:b w:val="0"/>
          <w:bCs w:val="0"/>
          <w:color w:val="000000"/>
          <w:sz w:val="32"/>
          <w:szCs w:val="32"/>
          <w:lang w:val="en-US" w:eastAsia="zh-CN"/>
        </w:rPr>
        <w:t>药师</w:t>
      </w:r>
      <w:r>
        <w:rPr>
          <w:rFonts w:hint="default" w:ascii="仿宋_GB2312" w:hAnsi="仿宋_GB2312" w:eastAsia="仿宋_GB2312" w:cs="仿宋_GB2312"/>
          <w:b w:val="0"/>
          <w:bCs w:val="0"/>
          <w:color w:val="000000"/>
          <w:sz w:val="32"/>
          <w:szCs w:val="32"/>
          <w:lang w:val="en-US" w:eastAsia="zh-CN"/>
        </w:rPr>
        <w:t>数量</w:t>
      </w:r>
      <w:r>
        <w:rPr>
          <w:rFonts w:hint="eastAsia" w:ascii="仿宋_GB2312" w:hAnsi="仿宋_GB2312" w:eastAsia="仿宋_GB2312" w:cs="仿宋_GB2312"/>
          <w:b w:val="0"/>
          <w:bCs w:val="0"/>
          <w:color w:val="000000"/>
          <w:sz w:val="32"/>
          <w:szCs w:val="32"/>
          <w:lang w:val="en-US" w:eastAsia="zh-CN"/>
        </w:rPr>
        <w:t>等</w:t>
      </w:r>
      <w:r>
        <w:rPr>
          <w:rFonts w:hint="default" w:ascii="仿宋_GB2312" w:hAnsi="仿宋_GB2312" w:eastAsia="仿宋_GB2312" w:cs="仿宋_GB2312"/>
          <w:b w:val="0"/>
          <w:bCs w:val="0"/>
          <w:color w:val="000000"/>
          <w:sz w:val="32"/>
          <w:szCs w:val="32"/>
          <w:lang w:val="en-US" w:eastAsia="zh-CN"/>
        </w:rPr>
        <w:t>设置标准，进行各区块内各级各类定点医疗机构的新增</w:t>
      </w:r>
      <w:r>
        <w:rPr>
          <w:rFonts w:hint="eastAsia" w:ascii="仿宋_GB2312" w:hAnsi="仿宋_GB2312" w:eastAsia="仿宋_GB2312" w:cs="仿宋_GB2312"/>
          <w:b w:val="0"/>
          <w:bCs w:val="0"/>
          <w:color w:val="000000"/>
          <w:sz w:val="32"/>
          <w:szCs w:val="32"/>
          <w:lang w:val="en-US" w:eastAsia="zh-CN"/>
        </w:rPr>
        <w:t>、递减</w:t>
      </w:r>
      <w:r>
        <w:rPr>
          <w:rFonts w:hint="default" w:ascii="仿宋_GB2312" w:hAnsi="仿宋_GB2312" w:eastAsia="仿宋_GB2312" w:cs="仿宋_GB2312"/>
          <w:b w:val="0"/>
          <w:bCs w:val="0"/>
          <w:color w:val="000000"/>
          <w:sz w:val="32"/>
          <w:szCs w:val="32"/>
          <w:lang w:val="en-US" w:eastAsia="zh-CN"/>
        </w:rPr>
        <w:t>配置规划指导。</w:t>
      </w:r>
      <w:r>
        <w:rPr>
          <w:rFonts w:hint="eastAsia" w:ascii="仿宋_GB2312" w:hAnsi="仿宋_GB2312" w:eastAsia="仿宋_GB2312" w:cs="仿宋_GB2312"/>
          <w:b w:val="0"/>
          <w:bCs w:val="0"/>
          <w:color w:val="000000"/>
          <w:sz w:val="32"/>
          <w:szCs w:val="32"/>
          <w:lang w:val="en-US" w:eastAsia="zh-CN"/>
        </w:rPr>
        <w:t>以保障参保人员的医药服务需求为根本目标，建立和完善覆盖城乡、布局合理、竞争有序、管理规范的医保定点服务网络体系，让医药卫生资源配置更加均衡，充分发挥医保基金战略购买的作用，为参保人员提供便捷、优质、安全、高效的医药服务。</w:t>
      </w:r>
      <w:r>
        <w:rPr>
          <w:rFonts w:hint="eastAsia" w:ascii="仿宋_GB2312" w:hAnsi="仿宋_GB2312" w:eastAsia="仿宋_GB2312" w:cs="仿宋_GB2312"/>
          <w:b w:val="0"/>
          <w:bCs w:val="0"/>
          <w:color w:val="000000"/>
          <w:sz w:val="32"/>
          <w:szCs w:val="32"/>
          <w:lang w:val="en-US" w:eastAsia="zh-CN"/>
        </w:rPr>
        <w:br w:type="textWrapping"/>
      </w:r>
      <w:r>
        <w:rPr>
          <w:rFonts w:hint="eastAsia" w:ascii="楷体" w:hAnsi="楷体" w:eastAsia="楷体" w:cs="楷体"/>
          <w:b w:val="0"/>
          <w:bCs w:val="0"/>
          <w:color w:val="000000"/>
          <w:sz w:val="32"/>
          <w:szCs w:val="32"/>
          <w:lang w:val="en-US" w:eastAsia="zh-CN"/>
        </w:rPr>
        <w:t xml:space="preserve">    （一）总量控制促进可持续发展。</w:t>
      </w:r>
      <w:r>
        <w:rPr>
          <w:rFonts w:hint="eastAsia" w:ascii="仿宋_GB2312" w:hAnsi="仿宋_GB2312" w:eastAsia="仿宋_GB2312" w:cs="仿宋_GB2312"/>
          <w:b w:val="0"/>
          <w:bCs w:val="0"/>
          <w:color w:val="000000"/>
          <w:sz w:val="32"/>
          <w:szCs w:val="32"/>
          <w:lang w:val="en-US" w:eastAsia="zh-CN"/>
        </w:rPr>
        <w:t>根据公众健康需求、管理服务需要、医保基金收支、区域卫生规划、医药机构设置规划等情况，合理确定全市医保定点医药机构总量及各地区资源结构布局，在确保医保基金安全可持续的前提下，调剂各区域、各等级医疗机构床位数量，提升定点零售药店服务能力</w:t>
      </w:r>
      <w:r>
        <w:rPr>
          <w:rFonts w:hint="eastAsia" w:ascii="仿宋_GB2312" w:hAnsi="仿宋_GB2312" w:eastAsia="仿宋_GB2312" w:cs="仿宋_GB2312"/>
          <w:b w:val="0"/>
          <w:bCs w:val="0"/>
          <w:color w:val="0000FF"/>
          <w:sz w:val="32"/>
          <w:szCs w:val="32"/>
          <w:lang w:val="en-US" w:eastAsia="zh-CN"/>
        </w:rPr>
        <w:t>，</w:t>
      </w:r>
      <w:r>
        <w:rPr>
          <w:rFonts w:hint="eastAsia" w:ascii="仿宋_GB2312" w:hAnsi="仿宋_GB2312" w:eastAsia="仿宋_GB2312" w:cs="仿宋_GB2312"/>
          <w:b w:val="0"/>
          <w:bCs w:val="0"/>
          <w:color w:val="000000"/>
          <w:sz w:val="32"/>
          <w:szCs w:val="32"/>
          <w:lang w:val="en-US" w:eastAsia="zh-CN"/>
        </w:rPr>
        <w:t>最大限度满足医药事业发展和参保群众医药服务需求。</w:t>
      </w:r>
    </w:p>
    <w:p w14:paraId="6C90A2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（二）结构调整促进战略性购买。</w:t>
      </w:r>
      <w:r>
        <w:rPr>
          <w:rFonts w:hint="eastAsia" w:ascii="仿宋_GB2312" w:hAnsi="仿宋_GB2312" w:eastAsia="仿宋_GB2312" w:cs="仿宋_GB2312"/>
          <w:b w:val="0"/>
          <w:bCs w:val="0"/>
          <w:color w:val="000000"/>
          <w:sz w:val="32"/>
          <w:szCs w:val="32"/>
          <w:lang w:val="en-US" w:eastAsia="zh-CN"/>
        </w:rPr>
        <w:t>构建定点医药机构特色发展和差异化服务格局，结合各区域定点医药服务资源配置实际，聚焦提升医保服务能力水平，重点考虑机构等级、专科特色、医药质量、价格优势、区域分布、管理规范、服务能力等因素，科学合理规划各区域定点医药机构数量。医疗机构的分院区按属地纳入定点规划。</w:t>
      </w:r>
    </w:p>
    <w:p w14:paraId="458939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（三）健全机制促进精细化管理。</w:t>
      </w:r>
      <w:r>
        <w:rPr>
          <w:rFonts w:hint="eastAsia" w:ascii="仿宋_GB2312" w:hAnsi="仿宋_GB2312" w:eastAsia="仿宋_GB2312" w:cs="仿宋_GB2312"/>
          <w:b w:val="0"/>
          <w:bCs w:val="0"/>
          <w:color w:val="000000"/>
          <w:sz w:val="32"/>
          <w:szCs w:val="32"/>
          <w:lang w:val="en-US" w:eastAsia="zh-CN"/>
        </w:rPr>
        <w:t>优化完善医保经办规程和服务协议，综合考虑《医疗机构基本标准》中各级各类医疗机构医师、床位数量设置标准，进行各区块内各级各类定点医疗机构的配置规划指导。规范定点申请、专业评估、协商谈判等流程，严格执行医保协议管理，建立健全激励约束考核办法，全面实施有进有出的动态管理机制。</w:t>
      </w:r>
    </w:p>
    <w:p w14:paraId="5BE61D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四、定点医药服务资源配置规划</w:t>
      </w:r>
    </w:p>
    <w:p w14:paraId="590FFE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（一）构建我市定点医疗机构</w:t>
      </w:r>
      <w:r>
        <w:rPr>
          <w:rFonts w:hint="eastAsia" w:ascii="楷体" w:hAnsi="楷体" w:eastAsia="楷体" w:cs="楷体"/>
          <w:b w:val="0"/>
          <w:bCs w:val="0"/>
          <w:color w:val="000000"/>
          <w:sz w:val="32"/>
          <w:szCs w:val="32"/>
        </w:rPr>
        <w:t>架构</w:t>
      </w:r>
    </w:p>
    <w:p w14:paraId="6D264B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1.综合考虑医疗机构的服务半径和服务人口数量，根据社区或街道网格的人口密度，参照省、市“十四五”卫生健康规划，依据千人床位数等指标，统筹确定区域年度住院定点医疗机构总量。</w:t>
      </w:r>
    </w:p>
    <w:p w14:paraId="23BE3D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eastAsia="zh-CN"/>
        </w:rPr>
        <w:t>2.</w:t>
      </w:r>
      <w:r>
        <w:rPr>
          <w:rFonts w:hint="eastAsia" w:ascii="仿宋_GB2312" w:hAnsi="仿宋_GB2312" w:eastAsia="仿宋_GB2312" w:cs="仿宋_GB2312"/>
          <w:b w:val="0"/>
          <w:bCs w:val="0"/>
          <w:color w:val="000000"/>
          <w:sz w:val="32"/>
          <w:szCs w:val="32"/>
          <w:lang w:val="en-US" w:eastAsia="zh-CN"/>
        </w:rPr>
        <w:t>全市纳入医保定点范围的住院床位规划总量，按照不超过每千常住人口6.8张（含）确定，此标准按照国家及省市相关要求实行动态调整。</w:t>
      </w:r>
    </w:p>
    <w:p w14:paraId="56CEE0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3.全市规划期内可新增的医保住院床位数，按照规划总量与实有数量的差额确定，主要依据统筹区内现有床位配置水平、基金运行情况等确定。</w:t>
      </w:r>
    </w:p>
    <w:p w14:paraId="78C4D7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医保住院床位规划总量=全市常住人口数÷1000×每千人床位规划数。</w:t>
      </w:r>
    </w:p>
    <w:p w14:paraId="765654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eastAsia="zh-CN"/>
        </w:rPr>
        <w:t>4</w:t>
      </w:r>
      <w:r>
        <w:rPr>
          <w:rFonts w:hint="eastAsia" w:ascii="仿宋_GB2312" w:hAnsi="仿宋_GB2312" w:eastAsia="仿宋_GB2312" w:cs="仿宋_GB2312"/>
          <w:b w:val="0"/>
          <w:bCs w:val="0"/>
          <w:color w:val="000000"/>
          <w:sz w:val="32"/>
          <w:szCs w:val="32"/>
          <w:lang w:val="en-US" w:eastAsia="zh-CN"/>
        </w:rPr>
        <w:t>.新增定点医疗机构以满足“15分钟医保服务圈”（半径800米）内没有同一医保服务类型的定点医疗机构。当区域内的医保住院床位数已达到区域“十四五”卫生健康规划床位目标数量的，原则上不再新增医保住院床位。</w:t>
      </w:r>
    </w:p>
    <w:p w14:paraId="5F619A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FF"/>
          <w:sz w:val="32"/>
          <w:szCs w:val="32"/>
          <w:lang w:val="en-US" w:eastAsia="zh-CN"/>
        </w:rPr>
      </w:pPr>
      <w:r>
        <w:rPr>
          <w:rFonts w:hint="default" w:ascii="仿宋_GB2312" w:hAnsi="仿宋_GB2312" w:eastAsia="仿宋_GB2312" w:cs="仿宋_GB2312"/>
          <w:b w:val="0"/>
          <w:bCs w:val="0"/>
          <w:color w:val="000000"/>
          <w:sz w:val="32"/>
          <w:szCs w:val="32"/>
          <w:lang w:eastAsia="zh-CN"/>
        </w:rPr>
        <w:t>5.</w:t>
      </w:r>
      <w:r>
        <w:rPr>
          <w:rFonts w:hint="eastAsia" w:ascii="仿宋_GB2312" w:hAnsi="仿宋_GB2312" w:eastAsia="仿宋_GB2312" w:cs="仿宋_GB2312"/>
          <w:b w:val="0"/>
          <w:bCs w:val="0"/>
          <w:color w:val="000000"/>
          <w:sz w:val="32"/>
          <w:szCs w:val="32"/>
          <w:lang w:val="en-US" w:eastAsia="zh-CN"/>
        </w:rPr>
        <w:t>实施床位总量规划下的结构优化措施。在床位数量规划范围内，按照精神、中医、康复顺序优先安排。定点医疗机构现有床位数上一年度入住率低于区域内医疗机构平均水平的，应重新对其进行定点评估，适时调整其协议管理状态。</w:t>
      </w:r>
    </w:p>
    <w:p w14:paraId="6B9FC5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（二）完善优化零售药店区域布局</w:t>
      </w:r>
    </w:p>
    <w:p w14:paraId="0F3534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1.综合考虑服务覆盖范围、常住人口分布、实际服务人数情况等因素，按照构建15分钟医疗服务圈（半径800米）要求，基于合理布局、便利群众原则，确定全市和各</w:t>
      </w:r>
      <w:r>
        <w:rPr>
          <w:rFonts w:hint="default" w:ascii="仿宋_GB2312" w:hAnsi="仿宋_GB2312" w:eastAsia="仿宋_GB2312" w:cs="仿宋_GB2312"/>
          <w:b w:val="0"/>
          <w:bCs w:val="0"/>
          <w:color w:val="000000"/>
          <w:sz w:val="32"/>
          <w:szCs w:val="32"/>
          <w:lang w:eastAsia="zh-CN"/>
        </w:rPr>
        <w:t>县（市、区）</w:t>
      </w:r>
      <w:r>
        <w:rPr>
          <w:rFonts w:hint="eastAsia" w:ascii="仿宋_GB2312" w:hAnsi="仿宋_GB2312" w:eastAsia="仿宋_GB2312" w:cs="仿宋_GB2312"/>
          <w:b w:val="0"/>
          <w:bCs w:val="0"/>
          <w:color w:val="000000"/>
          <w:sz w:val="32"/>
          <w:szCs w:val="32"/>
          <w:lang w:val="en-US" w:eastAsia="zh-CN"/>
        </w:rPr>
        <w:t>定点零售药店的规划数量。</w:t>
      </w:r>
    </w:p>
    <w:p w14:paraId="16E7B9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2.全市纳入医保定点范围的零售药店规划总量，以每家零售药店平均服务10000名常住人口确定。每万人定点零售药店不超过3.7家（含）确定，此标准按照国家及省市相关要求实行动态调整。</w:t>
      </w:r>
    </w:p>
    <w:p w14:paraId="237BB0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3.医保部门按照常住参保人口统计数据为依据，根据医保基金承受能力，对辖区定点零售药店数量实行总量控制、动态调整。全市和各</w:t>
      </w:r>
      <w:r>
        <w:rPr>
          <w:rFonts w:hint="default" w:ascii="仿宋_GB2312" w:hAnsi="仿宋_GB2312" w:eastAsia="仿宋_GB2312" w:cs="仿宋_GB2312"/>
          <w:b w:val="0"/>
          <w:bCs w:val="0"/>
          <w:color w:val="000000"/>
          <w:sz w:val="32"/>
          <w:szCs w:val="32"/>
          <w:lang w:eastAsia="zh-CN"/>
        </w:rPr>
        <w:t>县（市、区）</w:t>
      </w:r>
      <w:r>
        <w:rPr>
          <w:rFonts w:hint="eastAsia" w:ascii="仿宋_GB2312" w:hAnsi="仿宋_GB2312" w:eastAsia="仿宋_GB2312" w:cs="仿宋_GB2312"/>
          <w:b w:val="0"/>
          <w:bCs w:val="0"/>
          <w:color w:val="000000"/>
          <w:sz w:val="32"/>
          <w:szCs w:val="32"/>
          <w:lang w:val="en-US" w:eastAsia="zh-CN"/>
        </w:rPr>
        <w:t>规划期内可新增定点零售药店数量，按照规划总量与实有数量的差额确定。各</w:t>
      </w:r>
      <w:r>
        <w:rPr>
          <w:rFonts w:hint="default" w:ascii="仿宋_GB2312" w:hAnsi="仿宋_GB2312" w:eastAsia="仿宋_GB2312" w:cs="仿宋_GB2312"/>
          <w:b w:val="0"/>
          <w:bCs w:val="0"/>
          <w:color w:val="000000"/>
          <w:sz w:val="32"/>
          <w:szCs w:val="32"/>
          <w:lang w:eastAsia="zh-CN"/>
        </w:rPr>
        <w:t>县（市、区）</w:t>
      </w:r>
      <w:r>
        <w:rPr>
          <w:rFonts w:hint="eastAsia" w:ascii="仿宋_GB2312" w:hAnsi="仿宋_GB2312" w:eastAsia="仿宋_GB2312" w:cs="仿宋_GB2312"/>
          <w:b w:val="0"/>
          <w:bCs w:val="0"/>
          <w:color w:val="000000"/>
          <w:sz w:val="32"/>
          <w:szCs w:val="32"/>
          <w:lang w:val="en-US" w:eastAsia="zh-CN"/>
        </w:rPr>
        <w:t>可新增的定点零售药店数量，在全市可新增数量内，主要依据区域规划总量、实有数量、区域常住人口分布等情况确定。</w:t>
      </w:r>
    </w:p>
    <w:p w14:paraId="171AA5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医保定点零售药店规划总量=全市常住人口数÷10000×每万人药店规划数。</w:t>
      </w:r>
    </w:p>
    <w:p w14:paraId="37BDA6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4.定点零售药店跨医保管理区域变更注册地址的，应符合定点资源配置规划数量要求，按照医保定点管理等规定重新申请医保定点。</w:t>
      </w:r>
    </w:p>
    <w:p w14:paraId="44757E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5.</w:t>
      </w:r>
      <w:r>
        <w:rPr>
          <w:rFonts w:hint="default" w:ascii="仿宋_GB2312" w:hAnsi="仿宋_GB2312" w:eastAsia="仿宋_GB2312" w:cs="仿宋_GB2312"/>
          <w:b w:val="0"/>
          <w:bCs w:val="0"/>
          <w:color w:val="000000"/>
          <w:sz w:val="32"/>
          <w:szCs w:val="32"/>
          <w:lang w:val="en-US" w:eastAsia="zh-CN"/>
        </w:rPr>
        <w:t>严格执行“双通道”有关政策规定</w:t>
      </w:r>
      <w:r>
        <w:rPr>
          <w:rFonts w:hint="eastAsia" w:ascii="仿宋_GB2312" w:hAnsi="仿宋_GB2312" w:eastAsia="仿宋_GB2312" w:cs="仿宋_GB2312"/>
          <w:b w:val="0"/>
          <w:bCs w:val="0"/>
          <w:color w:val="000000"/>
          <w:sz w:val="32"/>
          <w:szCs w:val="32"/>
          <w:lang w:val="en-US" w:eastAsia="zh-CN"/>
        </w:rPr>
        <w:t>，</w:t>
      </w:r>
      <w:r>
        <w:rPr>
          <w:rFonts w:hint="default" w:ascii="仿宋_GB2312" w:hAnsi="仿宋_GB2312" w:eastAsia="仿宋_GB2312" w:cs="仿宋_GB2312"/>
          <w:b w:val="0"/>
          <w:bCs w:val="0"/>
          <w:color w:val="000000"/>
          <w:sz w:val="32"/>
          <w:szCs w:val="32"/>
          <w:lang w:val="en-US" w:eastAsia="zh-CN"/>
        </w:rPr>
        <w:t>每个县（市、区）内至少有1家“双通道”定点零售药店。根据参保人员实际需要将资质合规、管理规范信誉良好、安全供应、布局合理的定点零售药店纳入“双通道”管理。</w:t>
      </w:r>
    </w:p>
    <w:p w14:paraId="4BE542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color w:val="000000"/>
          <w:sz w:val="32"/>
          <w:szCs w:val="32"/>
          <w:lang w:val="en-US" w:eastAsia="zh-CN"/>
        </w:rPr>
      </w:pPr>
      <w:r>
        <w:rPr>
          <w:rFonts w:ascii="楷体_GB2312" w:hAnsi="楷体_GB2312" w:eastAsia="楷体_GB2312" w:cs="楷体_GB2312"/>
          <w:b w:val="0"/>
          <w:bCs w:val="0"/>
          <w:color w:val="000000"/>
          <w:sz w:val="32"/>
          <w:szCs w:val="32"/>
        </w:rPr>
        <w:t>（</w:t>
      </w:r>
      <w:r>
        <w:rPr>
          <w:rFonts w:hint="eastAsia" w:ascii="楷体_GB2312" w:hAnsi="楷体_GB2312" w:eastAsia="楷体_GB2312" w:cs="楷体_GB2312"/>
          <w:b w:val="0"/>
          <w:bCs w:val="0"/>
          <w:color w:val="000000"/>
          <w:sz w:val="32"/>
          <w:szCs w:val="32"/>
          <w:lang w:eastAsia="zh-CN"/>
        </w:rPr>
        <w:t>三</w:t>
      </w:r>
      <w:r>
        <w:rPr>
          <w:rFonts w:ascii="楷体_GB2312" w:hAnsi="楷体_GB2312" w:eastAsia="楷体_GB2312" w:cs="楷体_GB2312"/>
          <w:b w:val="0"/>
          <w:bCs w:val="0"/>
          <w:color w:val="000000"/>
          <w:sz w:val="32"/>
          <w:szCs w:val="32"/>
        </w:rPr>
        <w:t>）</w:t>
      </w:r>
      <w:r>
        <w:rPr>
          <w:rFonts w:hint="eastAsia" w:ascii="楷体_GB2312" w:hAnsi="楷体_GB2312" w:eastAsia="楷体_GB2312" w:cs="楷体_GB2312"/>
          <w:b w:val="0"/>
          <w:bCs w:val="0"/>
          <w:color w:val="000000"/>
          <w:sz w:val="32"/>
          <w:szCs w:val="32"/>
          <w:lang w:val="en-US" w:eastAsia="zh-CN"/>
        </w:rPr>
        <w:t>均衡定点医药机构资源配置</w:t>
      </w:r>
    </w:p>
    <w:p w14:paraId="442284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各县（市、区）医保部门应立足区域内现有医保定点医药机构资源情况、服务半径以及服务人群数量分布，结合医保基金收支、医疗机构设置规划等，科学合理安排本地区定点医药机构资源。市本级与北林区共同研定绥化市区内定点医药机构资源设计规划。</w:t>
      </w:r>
    </w:p>
    <w:p w14:paraId="614EDD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定点医药机构资源规划与统筹地区医保基金运行情况挂钩，绝不超越医保支付能力盲目扩大定点医药机构规模。上一年度医保基金出现当期赤字、预计本年度可能存在当期收不抵支风险、收到上级医保部门基金运行预警函，或者定点医疗机构床位利用率达不到卫生健康主管部门相关要求的地区，在上述情况改善前应当暂停新增定点医药机构。列入国家、省级和市级重点建设项目的医药机构，不受本规划限制，可按规定纳入医保定点评估范围。</w:t>
      </w:r>
    </w:p>
    <w:p w14:paraId="42FAAB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3.定点医药机构资源相对饱和的地区，在步行15分钟有效活动半径范围内，有同类型定点机构能满足参保人员看病购药需求的，原则上不再新增定点。</w:t>
      </w:r>
    </w:p>
    <w:p w14:paraId="6EEA2A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4.在定点医药机构规划允许情况下，由于人口增多等特殊情况确需新增的，由各县（市、区）医保局会同经办机构提出建议，经市医保局、市级经办机构审核通过方可开展准入工作。</w:t>
      </w:r>
    </w:p>
    <w:p w14:paraId="0063EB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5.在</w:t>
      </w:r>
      <w:r>
        <w:rPr>
          <w:rFonts w:hint="default" w:ascii="仿宋_GB2312" w:hAnsi="仿宋_GB2312" w:eastAsia="仿宋_GB2312" w:cs="仿宋_GB2312"/>
          <w:b w:val="0"/>
          <w:bCs w:val="0"/>
          <w:color w:val="000000"/>
          <w:sz w:val="32"/>
          <w:szCs w:val="32"/>
          <w:lang w:val="en-US" w:eastAsia="zh-CN"/>
        </w:rPr>
        <w:t>规划期内按照常住参保人口</w:t>
      </w:r>
      <w:r>
        <w:rPr>
          <w:rFonts w:hint="eastAsia" w:ascii="仿宋_GB2312" w:hAnsi="仿宋_GB2312" w:eastAsia="仿宋_GB2312" w:cs="仿宋_GB2312"/>
          <w:b w:val="0"/>
          <w:bCs w:val="0"/>
          <w:color w:val="000000"/>
          <w:sz w:val="32"/>
          <w:szCs w:val="32"/>
          <w:lang w:val="en-US" w:eastAsia="zh-CN"/>
        </w:rPr>
        <w:t>就医购药</w:t>
      </w:r>
      <w:r>
        <w:rPr>
          <w:rFonts w:hint="default" w:ascii="仿宋_GB2312" w:hAnsi="仿宋_GB2312" w:eastAsia="仿宋_GB2312" w:cs="仿宋_GB2312"/>
          <w:b w:val="0"/>
          <w:bCs w:val="0"/>
          <w:color w:val="000000"/>
          <w:sz w:val="32"/>
          <w:szCs w:val="32"/>
          <w:lang w:val="en-US" w:eastAsia="zh-CN"/>
        </w:rPr>
        <w:t>需求逐步优化定点零售药店的布局及密度</w:t>
      </w:r>
      <w:r>
        <w:rPr>
          <w:rFonts w:hint="eastAsia" w:ascii="仿宋_GB2312" w:hAnsi="仿宋_GB2312" w:eastAsia="仿宋_GB2312" w:cs="仿宋_GB2312"/>
          <w:b w:val="0"/>
          <w:bCs w:val="0"/>
          <w:color w:val="000000"/>
          <w:sz w:val="32"/>
          <w:szCs w:val="32"/>
          <w:lang w:val="en-US" w:eastAsia="zh-CN"/>
        </w:rPr>
        <w:t>，积极引入竞争机制，推动优胜劣汰，实现区域内定点医药机构数量与区域规划合理配置。</w:t>
      </w:r>
    </w:p>
    <w:p w14:paraId="649C04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五、其他要求</w:t>
      </w:r>
    </w:p>
    <w:p w14:paraId="5BF4B6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（一）加强组织领导保障。</w:t>
      </w:r>
      <w:r>
        <w:rPr>
          <w:rFonts w:hint="eastAsia" w:ascii="仿宋_GB2312" w:hAnsi="仿宋_GB2312" w:eastAsia="仿宋_GB2312" w:cs="仿宋_GB2312"/>
          <w:b w:val="0"/>
          <w:bCs w:val="0"/>
          <w:color w:val="000000"/>
          <w:sz w:val="32"/>
          <w:szCs w:val="32"/>
          <w:lang w:val="en-US" w:eastAsia="zh-CN"/>
        </w:rPr>
        <w:t>市医保部门牵头成立医保两定机构区域规划工作领导小组，</w:t>
      </w:r>
      <w:r>
        <w:rPr>
          <w:rFonts w:hint="default" w:ascii="仿宋_GB2312" w:hAnsi="仿宋_GB2312" w:eastAsia="仿宋_GB2312" w:cs="仿宋_GB2312"/>
          <w:b w:val="0"/>
          <w:bCs w:val="0"/>
          <w:color w:val="000000"/>
          <w:sz w:val="32"/>
          <w:szCs w:val="32"/>
          <w:lang w:val="en-US" w:eastAsia="zh-CN"/>
        </w:rPr>
        <w:t>加强领导、落实责任</w:t>
      </w:r>
      <w:r>
        <w:rPr>
          <w:rFonts w:hint="eastAsia" w:ascii="仿宋_GB2312" w:hAnsi="仿宋_GB2312" w:eastAsia="仿宋_GB2312" w:cs="仿宋_GB2312"/>
          <w:b w:val="0"/>
          <w:bCs w:val="0"/>
          <w:color w:val="000000"/>
          <w:sz w:val="32"/>
          <w:szCs w:val="32"/>
          <w:lang w:val="en-US" w:eastAsia="zh-CN"/>
        </w:rPr>
        <w:t>，</w:t>
      </w:r>
      <w:r>
        <w:rPr>
          <w:rFonts w:hint="default" w:ascii="仿宋_GB2312" w:hAnsi="仿宋_GB2312" w:eastAsia="仿宋_GB2312" w:cs="仿宋_GB2312"/>
          <w:b w:val="0"/>
          <w:bCs w:val="0"/>
          <w:color w:val="000000"/>
          <w:sz w:val="32"/>
          <w:szCs w:val="32"/>
          <w:lang w:val="en-US" w:eastAsia="zh-CN"/>
        </w:rPr>
        <w:t>各司其职、协同推进，发挥医疗保障定点医药机构发展规划的指导性作用</w:t>
      </w:r>
      <w:r>
        <w:rPr>
          <w:rFonts w:hint="eastAsia" w:ascii="仿宋_GB2312" w:hAnsi="仿宋_GB2312" w:eastAsia="仿宋_GB2312" w:cs="仿宋_GB2312"/>
          <w:b w:val="0"/>
          <w:bCs w:val="0"/>
          <w:color w:val="000000"/>
          <w:sz w:val="32"/>
          <w:szCs w:val="32"/>
          <w:lang w:val="en-US" w:eastAsia="zh-CN"/>
        </w:rPr>
        <w:t>。</w:t>
      </w:r>
      <w:r>
        <w:rPr>
          <w:rFonts w:hint="default" w:ascii="仿宋_GB2312" w:hAnsi="仿宋_GB2312" w:eastAsia="仿宋_GB2312" w:cs="仿宋_GB2312"/>
          <w:b w:val="0"/>
          <w:bCs w:val="0"/>
          <w:color w:val="000000"/>
          <w:sz w:val="32"/>
          <w:szCs w:val="32"/>
          <w:lang w:val="en-US" w:eastAsia="zh-CN"/>
        </w:rPr>
        <w:t>根据规划确定的原则和任务，立足实际，科学制定评估工作计划，确保</w:t>
      </w:r>
      <w:r>
        <w:rPr>
          <w:rFonts w:hint="eastAsia" w:ascii="仿宋_GB2312" w:hAnsi="仿宋_GB2312" w:eastAsia="仿宋_GB2312" w:cs="仿宋_GB2312"/>
          <w:b w:val="0"/>
          <w:bCs w:val="0"/>
          <w:color w:val="000000"/>
          <w:sz w:val="32"/>
          <w:szCs w:val="32"/>
          <w:lang w:val="en-US" w:eastAsia="zh-CN"/>
        </w:rPr>
        <w:t>规划</w:t>
      </w:r>
      <w:r>
        <w:rPr>
          <w:rFonts w:hint="default" w:ascii="仿宋_GB2312" w:hAnsi="仿宋_GB2312" w:eastAsia="仿宋_GB2312" w:cs="仿宋_GB2312"/>
          <w:b w:val="0"/>
          <w:bCs w:val="0"/>
          <w:color w:val="000000"/>
          <w:sz w:val="32"/>
          <w:szCs w:val="32"/>
          <w:lang w:val="en-US" w:eastAsia="zh-CN"/>
        </w:rPr>
        <w:t>工作平稳有序开展。</w:t>
      </w:r>
    </w:p>
    <w:p w14:paraId="1D13D1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楷体" w:hAnsi="楷体" w:eastAsia="楷体" w:cs="楷体"/>
          <w:sz w:val="32"/>
          <w:szCs w:val="32"/>
          <w:lang w:eastAsia="zh-CN"/>
        </w:rPr>
        <w:t>（二）完善</w:t>
      </w:r>
      <w:r>
        <w:rPr>
          <w:rFonts w:hint="eastAsia" w:ascii="楷体" w:hAnsi="楷体" w:eastAsia="楷体" w:cs="楷体"/>
          <w:sz w:val="32"/>
          <w:szCs w:val="32"/>
        </w:rPr>
        <w:t>准入退出机制。</w:t>
      </w:r>
      <w:r>
        <w:rPr>
          <w:rFonts w:hint="eastAsia" w:ascii="仿宋_GB2312" w:hAnsi="仿宋_GB2312" w:eastAsia="仿宋_GB2312" w:cs="仿宋_GB2312"/>
          <w:b w:val="0"/>
          <w:bCs w:val="0"/>
          <w:color w:val="000000"/>
          <w:sz w:val="32"/>
          <w:szCs w:val="32"/>
          <w:lang w:val="en-US" w:eastAsia="zh-CN"/>
        </w:rPr>
        <w:t>对申请成为医保定点的机构，各地医保经办机构要按照规定的标准和程序进行审核，确保其具备相应的医药服务能力和资质；对已纳入医保定点的机构，医保经办机构要定期进行考核和评估，对不符合要求的机构及时取消其定点资格。</w:t>
      </w:r>
    </w:p>
    <w:p w14:paraId="65F42D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楷体" w:hAnsi="楷体" w:eastAsia="楷体" w:cs="楷体"/>
          <w:sz w:val="32"/>
          <w:szCs w:val="32"/>
          <w:lang w:eastAsia="zh-CN"/>
        </w:rPr>
        <w:t>（三）建立动态调整机制。医保</w:t>
      </w:r>
      <w:r>
        <w:rPr>
          <w:rFonts w:hint="eastAsia" w:ascii="仿宋_GB2312" w:hAnsi="仿宋_GB2312" w:eastAsia="仿宋_GB2312" w:cs="仿宋_GB2312"/>
          <w:b w:val="0"/>
          <w:bCs w:val="0"/>
          <w:color w:val="000000"/>
          <w:sz w:val="32"/>
          <w:szCs w:val="32"/>
          <w:lang w:val="en-US" w:eastAsia="zh-CN"/>
        </w:rPr>
        <w:t>部门要根据人口变化、经济发展、医药需求等因素的变化，定期对医保定点区域规划进行评估和调整，确保规划的适应性和有效性。医保经办机构要加强对医保定点机构的信息管理和数据分析，提高管理效率和决策的科学性。</w:t>
      </w:r>
    </w:p>
    <w:p w14:paraId="14F5FA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（四）</w:t>
      </w:r>
      <w:r>
        <w:rPr>
          <w:rFonts w:hint="default" w:ascii="楷体" w:hAnsi="楷体" w:eastAsia="楷体" w:cs="楷体"/>
          <w:b w:val="0"/>
          <w:bCs w:val="0"/>
          <w:color w:val="000000"/>
          <w:sz w:val="32"/>
          <w:szCs w:val="32"/>
          <w:lang w:val="en-US" w:eastAsia="zh-CN"/>
        </w:rPr>
        <w:t>加强</w:t>
      </w:r>
      <w:r>
        <w:rPr>
          <w:rFonts w:hint="eastAsia" w:ascii="楷体" w:hAnsi="楷体" w:eastAsia="楷体" w:cs="楷体"/>
          <w:b w:val="0"/>
          <w:bCs w:val="0"/>
          <w:color w:val="000000"/>
          <w:sz w:val="32"/>
          <w:szCs w:val="32"/>
          <w:lang w:val="en-US" w:eastAsia="zh-CN"/>
        </w:rPr>
        <w:t>医保</w:t>
      </w:r>
      <w:r>
        <w:rPr>
          <w:rFonts w:hint="default" w:ascii="楷体" w:hAnsi="楷体" w:eastAsia="楷体" w:cs="楷体"/>
          <w:b w:val="0"/>
          <w:bCs w:val="0"/>
          <w:color w:val="000000"/>
          <w:sz w:val="32"/>
          <w:szCs w:val="32"/>
          <w:lang w:val="en-US" w:eastAsia="zh-CN"/>
        </w:rPr>
        <w:t>协议管理。</w:t>
      </w:r>
      <w:r>
        <w:rPr>
          <w:rFonts w:hint="default" w:ascii="仿宋_GB2312" w:hAnsi="仿宋_GB2312" w:eastAsia="仿宋_GB2312" w:cs="仿宋_GB2312"/>
          <w:b w:val="0"/>
          <w:bCs w:val="0"/>
          <w:color w:val="000000"/>
          <w:sz w:val="32"/>
          <w:szCs w:val="32"/>
          <w:lang w:val="en-US" w:eastAsia="zh-CN"/>
        </w:rPr>
        <w:t>进一步强化医保经办机构与定点医药机构协议管理，努力营造公开透明的市场环境，鼓励和引导各级各类医药机构公平参与竞争，推动定点医药机构医保精细化管理，建立进出有序的定点医药机构动态管理机制。</w:t>
      </w:r>
    </w:p>
    <w:p w14:paraId="2E0549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（五）</w:t>
      </w:r>
      <w:r>
        <w:rPr>
          <w:rFonts w:hint="default" w:ascii="楷体" w:hAnsi="楷体" w:eastAsia="楷体" w:cs="楷体"/>
          <w:b w:val="0"/>
          <w:bCs w:val="0"/>
          <w:color w:val="000000"/>
          <w:sz w:val="32"/>
          <w:szCs w:val="32"/>
          <w:lang w:val="en-US" w:eastAsia="zh-CN"/>
        </w:rPr>
        <w:t>强化基金</w:t>
      </w:r>
      <w:r>
        <w:rPr>
          <w:rFonts w:hint="eastAsia" w:ascii="楷体" w:hAnsi="楷体" w:eastAsia="楷体" w:cs="楷体"/>
          <w:b w:val="0"/>
          <w:bCs w:val="0"/>
          <w:color w:val="000000"/>
          <w:sz w:val="32"/>
          <w:szCs w:val="32"/>
          <w:lang w:val="en-US" w:eastAsia="zh-CN"/>
        </w:rPr>
        <w:t>监督管理</w:t>
      </w:r>
      <w:r>
        <w:rPr>
          <w:rFonts w:hint="default" w:ascii="楷体" w:hAnsi="楷体" w:eastAsia="楷体" w:cs="楷体"/>
          <w:b w:val="0"/>
          <w:bCs w:val="0"/>
          <w:color w:val="000000"/>
          <w:sz w:val="32"/>
          <w:szCs w:val="32"/>
          <w:lang w:val="en-US" w:eastAsia="zh-CN"/>
        </w:rPr>
        <w:t>。</w:t>
      </w:r>
      <w:r>
        <w:rPr>
          <w:rFonts w:hint="eastAsia" w:ascii="仿宋_GB2312" w:hAnsi="仿宋_GB2312" w:eastAsia="仿宋_GB2312" w:cs="仿宋_GB2312"/>
          <w:b w:val="0"/>
          <w:bCs w:val="0"/>
          <w:color w:val="000000"/>
          <w:sz w:val="32"/>
          <w:szCs w:val="32"/>
          <w:lang w:val="en-US" w:eastAsia="zh-CN"/>
        </w:rPr>
        <w:t>健全完善统一的定点医药机构监管体系，</w:t>
      </w:r>
      <w:r>
        <w:rPr>
          <w:rFonts w:hint="default" w:ascii="仿宋_GB2312" w:hAnsi="仿宋_GB2312" w:eastAsia="仿宋_GB2312" w:cs="仿宋_GB2312"/>
          <w:b w:val="0"/>
          <w:bCs w:val="0"/>
          <w:color w:val="000000"/>
          <w:sz w:val="32"/>
          <w:szCs w:val="32"/>
          <w:lang w:val="en-US" w:eastAsia="zh-CN"/>
        </w:rPr>
        <w:t>做实事前、事中、事后监管，</w:t>
      </w:r>
      <w:r>
        <w:rPr>
          <w:rFonts w:hint="eastAsia" w:ascii="仿宋_GB2312" w:hAnsi="仿宋_GB2312" w:eastAsia="仿宋_GB2312" w:cs="仿宋_GB2312"/>
          <w:b w:val="0"/>
          <w:bCs w:val="0"/>
          <w:color w:val="000000"/>
          <w:sz w:val="32"/>
          <w:szCs w:val="32"/>
          <w:lang w:val="en-US" w:eastAsia="zh-CN"/>
        </w:rPr>
        <w:t>建立“有进有出”的动态管理机制，</w:t>
      </w:r>
      <w:r>
        <w:rPr>
          <w:rFonts w:hint="default" w:ascii="仿宋_GB2312" w:hAnsi="仿宋_GB2312" w:eastAsia="仿宋_GB2312" w:cs="仿宋_GB2312"/>
          <w:b w:val="0"/>
          <w:bCs w:val="0"/>
          <w:color w:val="000000"/>
          <w:sz w:val="32"/>
          <w:szCs w:val="32"/>
          <w:lang w:val="en-US" w:eastAsia="zh-CN"/>
        </w:rPr>
        <w:t>构筑纵向联动、基层支撑监管网络；深化部门联动，严厉打击医保欺诈骗保行为；推进医保信用体系建设，倡导公众参与、行业自律，进一步规范医药服务行为。</w:t>
      </w:r>
    </w:p>
    <w:p w14:paraId="063BAC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（六）</w:t>
      </w:r>
      <w:r>
        <w:rPr>
          <w:rFonts w:hint="default" w:ascii="楷体" w:hAnsi="楷体" w:eastAsia="楷体" w:cs="楷体"/>
          <w:b w:val="0"/>
          <w:bCs w:val="0"/>
          <w:color w:val="000000"/>
          <w:sz w:val="32"/>
          <w:szCs w:val="32"/>
          <w:lang w:val="en-US" w:eastAsia="zh-CN"/>
        </w:rPr>
        <w:t>提升</w:t>
      </w:r>
      <w:r>
        <w:rPr>
          <w:rFonts w:hint="eastAsia" w:ascii="楷体" w:hAnsi="楷体" w:eastAsia="楷体" w:cs="楷体"/>
          <w:b w:val="0"/>
          <w:bCs w:val="0"/>
          <w:color w:val="000000"/>
          <w:sz w:val="32"/>
          <w:szCs w:val="32"/>
          <w:lang w:val="en-US" w:eastAsia="zh-CN"/>
        </w:rPr>
        <w:t>宣传</w:t>
      </w:r>
      <w:r>
        <w:rPr>
          <w:rFonts w:hint="default" w:ascii="楷体" w:hAnsi="楷体" w:eastAsia="楷体" w:cs="楷体"/>
          <w:b w:val="0"/>
          <w:bCs w:val="0"/>
          <w:color w:val="000000"/>
          <w:sz w:val="32"/>
          <w:szCs w:val="32"/>
          <w:lang w:val="en-US" w:eastAsia="zh-CN"/>
        </w:rPr>
        <w:t>服务水平。</w:t>
      </w:r>
      <w:r>
        <w:rPr>
          <w:rFonts w:hint="eastAsia" w:ascii="仿宋_GB2312" w:hAnsi="仿宋_GB2312" w:eastAsia="仿宋_GB2312" w:cs="仿宋_GB2312"/>
          <w:b w:val="0"/>
          <w:bCs w:val="0"/>
          <w:color w:val="000000"/>
          <w:sz w:val="32"/>
          <w:szCs w:val="32"/>
          <w:lang w:val="en-US" w:eastAsia="zh-CN"/>
        </w:rPr>
        <w:t>要通过多种渠道广泛宣传医保两定机构区域规划的重要意义和政策措施，提高社会各界的认知度和参与度。</w:t>
      </w:r>
      <w:r>
        <w:rPr>
          <w:rFonts w:hint="default" w:ascii="仿宋_GB2312" w:hAnsi="仿宋_GB2312" w:eastAsia="仿宋_GB2312" w:cs="仿宋_GB2312"/>
          <w:b w:val="0"/>
          <w:bCs w:val="0"/>
          <w:color w:val="000000"/>
          <w:sz w:val="32"/>
          <w:szCs w:val="32"/>
          <w:lang w:val="en-US" w:eastAsia="zh-CN"/>
        </w:rPr>
        <w:t>及时向社会公布医保定点医药机构发展规划，增强规划指导作用，合理引导社会预期，简化优化定点医药机构申请、评估等程序，</w:t>
      </w:r>
      <w:r>
        <w:rPr>
          <w:rFonts w:hint="eastAsia" w:ascii="仿宋_GB2312" w:hAnsi="仿宋_GB2312" w:eastAsia="仿宋_GB2312" w:cs="仿宋_GB2312"/>
          <w:b w:val="0"/>
          <w:bCs w:val="0"/>
          <w:color w:val="000000"/>
          <w:sz w:val="32"/>
          <w:szCs w:val="32"/>
          <w:lang w:val="en-US" w:eastAsia="zh-CN"/>
        </w:rPr>
        <w:t>引导医药机构积极改善就医环境、优化服务流程</w:t>
      </w:r>
      <w:r>
        <w:rPr>
          <w:rFonts w:hint="default" w:ascii="仿宋_GB2312" w:hAnsi="仿宋_GB2312" w:eastAsia="仿宋_GB2312" w:cs="仿宋_GB2312"/>
          <w:b w:val="0"/>
          <w:bCs w:val="0"/>
          <w:color w:val="000000"/>
          <w:sz w:val="32"/>
          <w:szCs w:val="32"/>
          <w:lang w:val="en-US" w:eastAsia="zh-CN"/>
        </w:rPr>
        <w:t>。</w:t>
      </w:r>
    </w:p>
    <w:p w14:paraId="730A43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本文件自印发之日起执行，有效期1年，在执行过程中，如遇国家、省级政策调整，以国家、省级政策为准。</w:t>
      </w:r>
    </w:p>
    <w:p w14:paraId="1EC6C3B8">
      <w:pPr>
        <w:keepNext w:val="0"/>
        <w:keepLines w:val="0"/>
        <w:pageBreakBefore w:val="0"/>
        <w:widowControl w:val="0"/>
        <w:tabs>
          <w:tab w:val="center" w:pos="4153"/>
        </w:tabs>
        <w:kinsoku/>
        <w:wordWrap/>
        <w:overflowPunct/>
        <w:topLinePunct w:val="0"/>
        <w:autoSpaceDE/>
        <w:autoSpaceDN/>
        <w:bidi w:val="0"/>
        <w:adjustRightInd/>
        <w:snapToGrid/>
        <w:spacing w:after="120" w:afterLines="20" w:line="560" w:lineRule="exact"/>
        <w:jc w:val="both"/>
        <w:textAlignment w:val="auto"/>
        <w:rPr>
          <w:rFonts w:hint="eastAsia" w:ascii="仿宋_GB2312" w:hAnsi="仿宋_GB2312" w:eastAsia="仿宋_GB2312" w:cs="仿宋_GB2312"/>
          <w:sz w:val="32"/>
          <w:szCs w:val="32"/>
          <w:lang w:val="en-US" w:eastAsia="zh-CN"/>
        </w:rPr>
      </w:pPr>
    </w:p>
    <w:p w14:paraId="0917E156">
      <w:pPr>
        <w:keepNext w:val="0"/>
        <w:keepLines w:val="0"/>
        <w:pageBreakBefore w:val="0"/>
        <w:widowControl w:val="0"/>
        <w:tabs>
          <w:tab w:val="center" w:pos="4153"/>
        </w:tabs>
        <w:kinsoku/>
        <w:wordWrap/>
        <w:overflowPunct/>
        <w:topLinePunct w:val="0"/>
        <w:autoSpaceDE/>
        <w:autoSpaceDN/>
        <w:bidi w:val="0"/>
        <w:adjustRightInd/>
        <w:snapToGrid/>
        <w:spacing w:after="120" w:afterLines="20" w:line="560" w:lineRule="exact"/>
        <w:jc w:val="both"/>
        <w:textAlignment w:val="auto"/>
        <w:rPr>
          <w:rFonts w:hint="eastAsia" w:ascii="仿宋_GB2312" w:hAnsi="仿宋_GB2312" w:eastAsia="仿宋_GB2312" w:cs="仿宋_GB2312"/>
          <w:sz w:val="32"/>
          <w:szCs w:val="32"/>
          <w:lang w:val="en-US" w:eastAsia="zh-CN"/>
        </w:rPr>
      </w:pPr>
    </w:p>
    <w:p w14:paraId="201ACBC1">
      <w:pPr>
        <w:keepNext w:val="0"/>
        <w:keepLines w:val="0"/>
        <w:pageBreakBefore w:val="0"/>
        <w:widowControl w:val="0"/>
        <w:tabs>
          <w:tab w:val="center" w:pos="4153"/>
        </w:tabs>
        <w:kinsoku/>
        <w:wordWrap/>
        <w:overflowPunct/>
        <w:topLinePunct w:val="0"/>
        <w:autoSpaceDE/>
        <w:autoSpaceDN/>
        <w:bidi w:val="0"/>
        <w:adjustRightInd/>
        <w:snapToGrid/>
        <w:spacing w:after="120" w:afterLines="20" w:line="560" w:lineRule="exact"/>
        <w:jc w:val="both"/>
        <w:textAlignment w:val="auto"/>
        <w:rPr>
          <w:rFonts w:hint="eastAsia" w:ascii="仿宋_GB2312" w:hAnsi="仿宋_GB2312" w:eastAsia="仿宋_GB2312" w:cs="仿宋_GB2312"/>
          <w:sz w:val="32"/>
          <w:szCs w:val="32"/>
          <w:lang w:val="en-US" w:eastAsia="zh-CN"/>
        </w:rPr>
      </w:pPr>
    </w:p>
    <w:p w14:paraId="3C2D355B">
      <w:pPr>
        <w:keepNext w:val="0"/>
        <w:keepLines w:val="0"/>
        <w:pageBreakBefore w:val="0"/>
        <w:widowControl w:val="0"/>
        <w:tabs>
          <w:tab w:val="center" w:pos="4153"/>
        </w:tabs>
        <w:kinsoku/>
        <w:wordWrap/>
        <w:overflowPunct/>
        <w:topLinePunct w:val="0"/>
        <w:autoSpaceDE/>
        <w:autoSpaceDN/>
        <w:bidi w:val="0"/>
        <w:adjustRightInd/>
        <w:snapToGrid/>
        <w:spacing w:after="120" w:afterLines="20" w:line="560" w:lineRule="exact"/>
        <w:jc w:val="both"/>
        <w:textAlignment w:val="auto"/>
        <w:rPr>
          <w:rFonts w:hint="eastAsia" w:ascii="仿宋_GB2312" w:hAnsi="仿宋_GB2312" w:eastAsia="仿宋_GB2312" w:cs="仿宋_GB2312"/>
          <w:sz w:val="32"/>
          <w:szCs w:val="32"/>
          <w:lang w:val="en-US" w:eastAsia="zh-CN"/>
        </w:rPr>
      </w:pPr>
    </w:p>
    <w:p w14:paraId="6E8C72EF">
      <w:pPr>
        <w:keepNext w:val="0"/>
        <w:keepLines w:val="0"/>
        <w:pageBreakBefore w:val="0"/>
        <w:widowControl w:val="0"/>
        <w:tabs>
          <w:tab w:val="center" w:pos="4153"/>
        </w:tabs>
        <w:kinsoku/>
        <w:wordWrap/>
        <w:overflowPunct/>
        <w:topLinePunct w:val="0"/>
        <w:autoSpaceDE/>
        <w:autoSpaceDN/>
        <w:bidi w:val="0"/>
        <w:adjustRightInd/>
        <w:snapToGrid/>
        <w:spacing w:after="120" w:afterLines="20" w:line="560" w:lineRule="exact"/>
        <w:jc w:val="both"/>
        <w:textAlignment w:val="auto"/>
        <w:rPr>
          <w:rFonts w:hint="eastAsia" w:ascii="仿宋_GB2312" w:hAnsi="仿宋_GB2312" w:eastAsia="仿宋_GB2312" w:cs="仿宋_GB2312"/>
          <w:sz w:val="32"/>
          <w:szCs w:val="32"/>
          <w:lang w:val="en-US" w:eastAsia="zh-CN"/>
        </w:rPr>
      </w:pPr>
    </w:p>
    <w:tbl>
      <w:tblPr>
        <w:tblStyle w:val="19"/>
        <w:tblpPr w:leftFromText="180" w:rightFromText="180" w:vertAnchor="text" w:horzAnchor="page" w:tblpX="1430" w:tblpY="11642"/>
        <w:tblOverlap w:val="never"/>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0"/>
      </w:tblGrid>
      <w:tr w14:paraId="77D754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980" w:type="dxa"/>
            <w:noWrap w:val="0"/>
            <w:vAlign w:val="top"/>
          </w:tcPr>
          <w:p w14:paraId="1B30B36C">
            <w:pPr>
              <w:keepNext w:val="0"/>
              <w:keepLines w:val="0"/>
              <w:pageBreakBefore w:val="0"/>
              <w:widowControl w:val="0"/>
              <w:tabs>
                <w:tab w:val="center" w:pos="4153"/>
              </w:tabs>
              <w:kinsoku/>
              <w:wordWrap/>
              <w:overflowPunct/>
              <w:topLinePunct w:val="0"/>
              <w:autoSpaceDE/>
              <w:autoSpaceDN/>
              <w:bidi w:val="0"/>
              <w:adjustRightInd/>
              <w:snapToGrid/>
              <w:spacing w:after="120" w:afterLines="20" w:line="560" w:lineRule="exact"/>
              <w:textAlignment w:val="auto"/>
              <w:rPr>
                <w:rFonts w:hint="eastAsia" w:ascii="仿宋_GB2312" w:hAnsi="仿宋_GB2312" w:cs="仿宋_GB2312"/>
                <w:sz w:val="28"/>
                <w:szCs w:val="28"/>
              </w:rPr>
            </w:pPr>
            <w:r>
              <w:rPr>
                <w:rFonts w:hint="eastAsia" w:ascii="仿宋_GB2312" w:hAnsi="仿宋_GB2312" w:cs="仿宋_GB2312"/>
                <w:sz w:val="28"/>
                <w:szCs w:val="28"/>
              </w:rPr>
              <w:t xml:space="preserve">绥化市医疗保障局办公室                    </w:t>
            </w: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rPr>
              <w:t>202</w:t>
            </w:r>
            <w:r>
              <w:rPr>
                <w:rFonts w:hint="eastAsia" w:ascii="仿宋_GB2312" w:hAnsi="仿宋_GB2312" w:cs="仿宋_GB2312"/>
                <w:sz w:val="28"/>
                <w:szCs w:val="28"/>
                <w:lang w:val="en-US" w:eastAsia="zh-CN"/>
              </w:rPr>
              <w:t>5</w:t>
            </w:r>
            <w:r>
              <w:rPr>
                <w:rFonts w:hint="eastAsia" w:ascii="仿宋_GB2312" w:hAnsi="仿宋_GB2312" w:cs="仿宋_GB2312"/>
                <w:sz w:val="28"/>
                <w:szCs w:val="28"/>
              </w:rPr>
              <w:t>年</w:t>
            </w:r>
            <w:r>
              <w:rPr>
                <w:rFonts w:hint="eastAsia" w:ascii="仿宋_GB2312" w:hAnsi="仿宋_GB2312" w:cs="仿宋_GB2312"/>
                <w:sz w:val="28"/>
                <w:szCs w:val="28"/>
                <w:lang w:val="en-US" w:eastAsia="zh-CN"/>
              </w:rPr>
              <w:t>9</w:t>
            </w:r>
            <w:r>
              <w:rPr>
                <w:rFonts w:hint="eastAsia" w:ascii="仿宋_GB2312" w:hAnsi="仿宋_GB2312" w:cs="仿宋_GB2312"/>
                <w:sz w:val="28"/>
                <w:szCs w:val="28"/>
              </w:rPr>
              <w:t>月</w:t>
            </w:r>
            <w:r>
              <w:rPr>
                <w:rFonts w:hint="eastAsia" w:ascii="仿宋_GB2312" w:hAnsi="仿宋_GB2312" w:cs="仿宋_GB2312"/>
                <w:sz w:val="28"/>
                <w:szCs w:val="28"/>
                <w:lang w:val="en-US" w:eastAsia="zh-CN"/>
              </w:rPr>
              <w:t>30</w:t>
            </w:r>
            <w:r>
              <w:rPr>
                <w:rFonts w:hint="eastAsia" w:ascii="仿宋_GB2312" w:hAnsi="仿宋_GB2312" w:cs="仿宋_GB2312"/>
                <w:sz w:val="28"/>
                <w:szCs w:val="28"/>
              </w:rPr>
              <w:t>日印发</w:t>
            </w:r>
          </w:p>
        </w:tc>
      </w:tr>
    </w:tbl>
    <w:p w14:paraId="67A20B63">
      <w:pPr>
        <w:keepNext w:val="0"/>
        <w:keepLines w:val="0"/>
        <w:pageBreakBefore w:val="0"/>
        <w:widowControl w:val="0"/>
        <w:tabs>
          <w:tab w:val="center" w:pos="4153"/>
        </w:tabs>
        <w:kinsoku/>
        <w:wordWrap/>
        <w:overflowPunct/>
        <w:topLinePunct w:val="0"/>
        <w:autoSpaceDE/>
        <w:autoSpaceDN/>
        <w:bidi w:val="0"/>
        <w:adjustRightInd/>
        <w:snapToGrid/>
        <w:spacing w:after="120" w:afterLines="20" w:line="560" w:lineRule="exact"/>
        <w:jc w:val="both"/>
        <w:textAlignment w:val="auto"/>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2098" w:right="1474" w:bottom="1984" w:left="1587" w:header="884" w:footer="1276" w:gutter="0"/>
      <w:pgBorders>
        <w:top w:val="none" w:sz="0" w:space="0"/>
        <w:left w:val="none" w:sz="0" w:space="0"/>
        <w:bottom w:val="none" w:sz="0" w:space="0"/>
        <w:right w:val="none" w:sz="0" w:space="0"/>
      </w:pgBorders>
      <w:pgNumType w:fmt="decimal" w:start="1"/>
      <w:cols w:space="0" w:num="1"/>
      <w:rtlGutter w:val="0"/>
      <w:docGrid w:type="lines" w:linePitch="5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0A96D4-F94E-4627-9E68-BA57C0F4C9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E47E0FBD-5F74-4BEE-8A83-02168E6706B3}"/>
  </w:font>
  <w:font w:name="方正小标宋简体">
    <w:panose1 w:val="02000000000000000000"/>
    <w:charset w:val="86"/>
    <w:family w:val="auto"/>
    <w:pitch w:val="default"/>
    <w:sig w:usb0="00000001" w:usb1="080E0000" w:usb2="00000000" w:usb3="00000000" w:csb0="00040000" w:csb1="00000000"/>
    <w:embedRegular r:id="rId3" w:fontKey="{DD430590-11D5-4050-B98A-71AA093CAAA8}"/>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00"/>
    <w:family w:val="auto"/>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4" w:fontKey="{24873308-22C6-473D-B634-0C2BDE06FDB4}"/>
  </w:font>
  <w:font w:name="楷体">
    <w:panose1 w:val="02010609060101010101"/>
    <w:charset w:val="86"/>
    <w:family w:val="auto"/>
    <w:pitch w:val="default"/>
    <w:sig w:usb0="800002BF" w:usb1="38CF7CFA" w:usb2="00000016" w:usb3="00000000" w:csb0="00040001" w:csb1="00000000"/>
    <w:embedRegular r:id="rId5" w:fontKey="{7233AF5E-000F-42F9-A425-18007FB365ED}"/>
  </w:font>
  <w:font w:name="楷体_GB2312">
    <w:panose1 w:val="02010609030101010101"/>
    <w:charset w:val="86"/>
    <w:family w:val="auto"/>
    <w:pitch w:val="default"/>
    <w:sig w:usb0="00000001" w:usb1="080E0000" w:usb2="00000000" w:usb3="00000000" w:csb0="00040000" w:csb1="00000000"/>
    <w:embedRegular r:id="rId6" w:fontKey="{497658F8-4C47-431A-8319-0DFBDA5406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70472">
    <w:pPr>
      <w:pStyle w:val="14"/>
      <w:tabs>
        <w:tab w:val="left" w:pos="7698"/>
        <w:tab w:val="clear" w:pos="4153"/>
      </w:tabs>
      <w:rPr>
        <w:rFonts w:hint="eastAsia" w:eastAsia="仿宋_GB2312"/>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E07FE">
                          <w:pPr>
                            <w:pStyle w:val="14"/>
                            <w:jc w:val="both"/>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1E07FE">
                    <w:pPr>
                      <w:pStyle w:val="14"/>
                      <w:jc w:val="both"/>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D71BE">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320"/>
  <w:drawingGridVerticalSpacing w:val="29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2N2YyYTFmNDI4NDYzODUwNGZjYjE3MjliYmE5OTIifQ=="/>
    <w:docVar w:name="KSO_WPS_MARK_KEY" w:val="3c3cdc66-5b90-46df-9e57-bb364df38e1d"/>
  </w:docVars>
  <w:rsids>
    <w:rsidRoot w:val="00172A27"/>
    <w:rsid w:val="000027C4"/>
    <w:rsid w:val="00AF3A2E"/>
    <w:rsid w:val="010E72CB"/>
    <w:rsid w:val="01124432"/>
    <w:rsid w:val="017C78FF"/>
    <w:rsid w:val="02DA6C7E"/>
    <w:rsid w:val="03212AE9"/>
    <w:rsid w:val="03362153"/>
    <w:rsid w:val="03392305"/>
    <w:rsid w:val="037C50AC"/>
    <w:rsid w:val="04113F4F"/>
    <w:rsid w:val="04CD6C68"/>
    <w:rsid w:val="057744E4"/>
    <w:rsid w:val="06D61345"/>
    <w:rsid w:val="06F317C6"/>
    <w:rsid w:val="093F213F"/>
    <w:rsid w:val="094D3053"/>
    <w:rsid w:val="0A1E7DD2"/>
    <w:rsid w:val="0A9F717D"/>
    <w:rsid w:val="0C637445"/>
    <w:rsid w:val="0F3D5D2B"/>
    <w:rsid w:val="10393BAA"/>
    <w:rsid w:val="110639BC"/>
    <w:rsid w:val="127D7BFC"/>
    <w:rsid w:val="15404638"/>
    <w:rsid w:val="15F32EE7"/>
    <w:rsid w:val="163F0AC6"/>
    <w:rsid w:val="16DC051F"/>
    <w:rsid w:val="18A26578"/>
    <w:rsid w:val="18AC1086"/>
    <w:rsid w:val="19061F4B"/>
    <w:rsid w:val="1C102840"/>
    <w:rsid w:val="1CD501DC"/>
    <w:rsid w:val="1CE13FEE"/>
    <w:rsid w:val="1CE94C7E"/>
    <w:rsid w:val="1E032835"/>
    <w:rsid w:val="1E361C3B"/>
    <w:rsid w:val="1EAA6BDE"/>
    <w:rsid w:val="1FDE39D7"/>
    <w:rsid w:val="20014799"/>
    <w:rsid w:val="20663311"/>
    <w:rsid w:val="22122D7A"/>
    <w:rsid w:val="22A040F5"/>
    <w:rsid w:val="24CF313A"/>
    <w:rsid w:val="25DE7467"/>
    <w:rsid w:val="27167136"/>
    <w:rsid w:val="29503844"/>
    <w:rsid w:val="2A6E7289"/>
    <w:rsid w:val="2BA3572B"/>
    <w:rsid w:val="2C805716"/>
    <w:rsid w:val="2C8C2B04"/>
    <w:rsid w:val="2E7F3BD6"/>
    <w:rsid w:val="2E9F5C62"/>
    <w:rsid w:val="2ECD7558"/>
    <w:rsid w:val="2EE36F7B"/>
    <w:rsid w:val="31943EDA"/>
    <w:rsid w:val="31A657F5"/>
    <w:rsid w:val="323D6E65"/>
    <w:rsid w:val="32DD31FD"/>
    <w:rsid w:val="33A37418"/>
    <w:rsid w:val="35EF5F80"/>
    <w:rsid w:val="36FC5244"/>
    <w:rsid w:val="371609C6"/>
    <w:rsid w:val="372E2F5D"/>
    <w:rsid w:val="37946F3E"/>
    <w:rsid w:val="37EC4B4C"/>
    <w:rsid w:val="383C3F42"/>
    <w:rsid w:val="385774D3"/>
    <w:rsid w:val="3A347F09"/>
    <w:rsid w:val="3A582C27"/>
    <w:rsid w:val="3A7E38D3"/>
    <w:rsid w:val="3A912A13"/>
    <w:rsid w:val="3ADC2A8E"/>
    <w:rsid w:val="3B681A44"/>
    <w:rsid w:val="3BD207DD"/>
    <w:rsid w:val="3C4F4D16"/>
    <w:rsid w:val="3D366731"/>
    <w:rsid w:val="3DE65015"/>
    <w:rsid w:val="3EC465C2"/>
    <w:rsid w:val="3ED656D0"/>
    <w:rsid w:val="3F297A2D"/>
    <w:rsid w:val="3FD64EC4"/>
    <w:rsid w:val="409D5D7A"/>
    <w:rsid w:val="411E510D"/>
    <w:rsid w:val="418D151A"/>
    <w:rsid w:val="41B415CD"/>
    <w:rsid w:val="4259696B"/>
    <w:rsid w:val="43763976"/>
    <w:rsid w:val="45267B9F"/>
    <w:rsid w:val="461F2A2C"/>
    <w:rsid w:val="46CB31E5"/>
    <w:rsid w:val="47CA43F3"/>
    <w:rsid w:val="482C0F74"/>
    <w:rsid w:val="48831983"/>
    <w:rsid w:val="4A91694F"/>
    <w:rsid w:val="4AC33AFE"/>
    <w:rsid w:val="4AC84139"/>
    <w:rsid w:val="4C63256E"/>
    <w:rsid w:val="4E703E04"/>
    <w:rsid w:val="4F07778F"/>
    <w:rsid w:val="4F93631E"/>
    <w:rsid w:val="505A77E4"/>
    <w:rsid w:val="513B7615"/>
    <w:rsid w:val="515F1A6D"/>
    <w:rsid w:val="53095C1D"/>
    <w:rsid w:val="53581514"/>
    <w:rsid w:val="53AC0356"/>
    <w:rsid w:val="548D3137"/>
    <w:rsid w:val="55777AA3"/>
    <w:rsid w:val="55E524FA"/>
    <w:rsid w:val="567F6E84"/>
    <w:rsid w:val="575E7B94"/>
    <w:rsid w:val="578B1D41"/>
    <w:rsid w:val="5A7972BC"/>
    <w:rsid w:val="5BF76861"/>
    <w:rsid w:val="5C0B238F"/>
    <w:rsid w:val="5CB8704C"/>
    <w:rsid w:val="5D333C1A"/>
    <w:rsid w:val="5D5C43BB"/>
    <w:rsid w:val="5E897446"/>
    <w:rsid w:val="5FB16C64"/>
    <w:rsid w:val="5FB86698"/>
    <w:rsid w:val="6062129A"/>
    <w:rsid w:val="61164056"/>
    <w:rsid w:val="61B718AC"/>
    <w:rsid w:val="628345AD"/>
    <w:rsid w:val="62B4178F"/>
    <w:rsid w:val="639A466F"/>
    <w:rsid w:val="64051988"/>
    <w:rsid w:val="66461587"/>
    <w:rsid w:val="66D333E8"/>
    <w:rsid w:val="67C33219"/>
    <w:rsid w:val="68BB7BDF"/>
    <w:rsid w:val="68F25B3B"/>
    <w:rsid w:val="6970401A"/>
    <w:rsid w:val="6A4627A3"/>
    <w:rsid w:val="6A6D7423"/>
    <w:rsid w:val="6AD43AD2"/>
    <w:rsid w:val="6B152326"/>
    <w:rsid w:val="6C7855AE"/>
    <w:rsid w:val="6C9D6941"/>
    <w:rsid w:val="6E4753F3"/>
    <w:rsid w:val="6E775CD9"/>
    <w:rsid w:val="6E892BA7"/>
    <w:rsid w:val="6FA27083"/>
    <w:rsid w:val="6FAF55C9"/>
    <w:rsid w:val="713A123F"/>
    <w:rsid w:val="71796D0C"/>
    <w:rsid w:val="7253480E"/>
    <w:rsid w:val="728D2332"/>
    <w:rsid w:val="729836BF"/>
    <w:rsid w:val="72E31363"/>
    <w:rsid w:val="72F75A91"/>
    <w:rsid w:val="742F2BB2"/>
    <w:rsid w:val="746B357F"/>
    <w:rsid w:val="74E85E22"/>
    <w:rsid w:val="74E97F77"/>
    <w:rsid w:val="765950B8"/>
    <w:rsid w:val="76903014"/>
    <w:rsid w:val="77000D49"/>
    <w:rsid w:val="77D75529"/>
    <w:rsid w:val="788D39BA"/>
    <w:rsid w:val="78EA70A7"/>
    <w:rsid w:val="799E07D9"/>
    <w:rsid w:val="7A61460F"/>
    <w:rsid w:val="7AAB146D"/>
    <w:rsid w:val="7B2C4B80"/>
    <w:rsid w:val="7BF72136"/>
    <w:rsid w:val="7C812849"/>
    <w:rsid w:val="7C9239B4"/>
    <w:rsid w:val="7FF12AC9"/>
    <w:rsid w:val="7FFE485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Autospacing="0" w:after="330" w:afterAutospacing="0" w:line="576" w:lineRule="auto"/>
      <w:jc w:val="center"/>
      <w:outlineLvl w:val="0"/>
    </w:pPr>
    <w:rPr>
      <w:rFonts w:ascii="Times New Roman" w:hAnsi="Times New Roman" w:eastAsia="方正小标宋简体"/>
      <w:kern w:val="44"/>
      <w:sz w:val="44"/>
    </w:rPr>
  </w:style>
  <w:style w:type="paragraph" w:styleId="3">
    <w:name w:val="heading 2"/>
    <w:basedOn w:val="1"/>
    <w:next w:val="1"/>
    <w:qFormat/>
    <w:uiPriority w:val="0"/>
    <w:pPr>
      <w:keepNext/>
      <w:keepLines/>
      <w:spacing w:before="260" w:beforeAutospacing="0" w:after="260" w:afterAutospacing="0" w:line="413" w:lineRule="auto"/>
      <w:outlineLvl w:val="1"/>
    </w:pPr>
    <w:rPr>
      <w:rFonts w:ascii="Arial" w:hAnsi="Arial" w:eastAsia="黑体"/>
      <w:b/>
      <w:sz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unhideWhenUsed/>
    <w:qFormat/>
    <w:uiPriority w:val="99"/>
    <w:pPr>
      <w:ind w:left="420" w:leftChars="200"/>
    </w:pPr>
  </w:style>
  <w:style w:type="paragraph" w:styleId="5">
    <w:name w:val="index 5"/>
    <w:basedOn w:val="1"/>
    <w:next w:val="1"/>
    <w:qFormat/>
    <w:uiPriority w:val="0"/>
    <w:pPr>
      <w:widowControl w:val="0"/>
      <w:ind w:left="1680"/>
      <w:jc w:val="both"/>
    </w:pPr>
    <w:rPr>
      <w:rFonts w:ascii="Calibri" w:hAnsi="Calibri" w:eastAsia="宋体" w:cs="黑体"/>
      <w:kern w:val="2"/>
      <w:sz w:val="21"/>
      <w:szCs w:val="22"/>
      <w:lang w:val="en-US" w:eastAsia="zh-CN" w:bidi="ar-SA"/>
    </w:rPr>
  </w:style>
  <w:style w:type="paragraph" w:styleId="6">
    <w:name w:val="annotation text"/>
    <w:basedOn w:val="1"/>
    <w:qFormat/>
    <w:uiPriority w:val="0"/>
    <w:pPr>
      <w:widowControl w:val="0"/>
      <w:adjustRightInd/>
      <w:snapToGrid/>
      <w:spacing w:after="0"/>
    </w:pPr>
    <w:rPr>
      <w:rFonts w:ascii="Calibri" w:hAnsi="Calibri" w:eastAsia="宋体"/>
      <w:kern w:val="2"/>
      <w:sz w:val="21"/>
      <w:szCs w:val="24"/>
    </w:rPr>
  </w:style>
  <w:style w:type="paragraph" w:styleId="7">
    <w:name w:val="Body Text 3"/>
    <w:basedOn w:val="1"/>
    <w:qFormat/>
    <w:uiPriority w:val="0"/>
    <w:pPr>
      <w:spacing w:after="120" w:afterAutospacing="0"/>
    </w:pPr>
    <w:rPr>
      <w:sz w:val="16"/>
    </w:rPr>
  </w:style>
  <w:style w:type="paragraph" w:styleId="8">
    <w:name w:val="Body Text"/>
    <w:basedOn w:val="1"/>
    <w:qFormat/>
    <w:uiPriority w:val="0"/>
    <w:pPr>
      <w:widowControl/>
      <w:adjustRightInd w:val="0"/>
      <w:snapToGrid w:val="0"/>
      <w:spacing w:line="360" w:lineRule="auto"/>
    </w:pPr>
    <w:rPr>
      <w:rFonts w:ascii="仿宋_GB2312" w:hAnsi="宋体" w:eastAsia="仿宋_GB2312" w:cs="Times New Roman"/>
      <w:kern w:val="0"/>
      <w:sz w:val="28"/>
      <w:szCs w:val="24"/>
    </w:rPr>
  </w:style>
  <w:style w:type="paragraph" w:styleId="9">
    <w:name w:val="Body Text Indent"/>
    <w:basedOn w:val="1"/>
    <w:unhideWhenUsed/>
    <w:qFormat/>
    <w:uiPriority w:val="99"/>
    <w:pPr>
      <w:spacing w:after="120"/>
      <w:ind w:left="420" w:leftChars="200"/>
    </w:pPr>
  </w:style>
  <w:style w:type="paragraph" w:styleId="10">
    <w:name w:val="toc 3"/>
    <w:basedOn w:val="1"/>
    <w:next w:val="1"/>
    <w:qFormat/>
    <w:uiPriority w:val="0"/>
    <w:pPr>
      <w:widowControl w:val="0"/>
      <w:adjustRightInd/>
      <w:snapToGrid/>
      <w:spacing w:after="0"/>
      <w:ind w:left="420"/>
      <w:jc w:val="both"/>
    </w:pPr>
    <w:rPr>
      <w:rFonts w:ascii="等线" w:hAnsi="等线" w:eastAsia="等线"/>
      <w:b/>
      <w:kern w:val="2"/>
      <w:sz w:val="30"/>
      <w:szCs w:val="30"/>
    </w:rPr>
  </w:style>
  <w:style w:type="paragraph" w:styleId="11">
    <w:name w:val="Date"/>
    <w:basedOn w:val="1"/>
    <w:next w:val="1"/>
    <w:qFormat/>
    <w:uiPriority w:val="0"/>
    <w:pPr>
      <w:ind w:left="100" w:leftChars="2500"/>
    </w:pPr>
  </w:style>
  <w:style w:type="paragraph" w:styleId="12">
    <w:name w:val="Body Text Indent 2"/>
    <w:basedOn w:val="1"/>
    <w:qFormat/>
    <w:uiPriority w:val="0"/>
    <w:pPr>
      <w:spacing w:afterAutospacing="0" w:line="560" w:lineRule="exact"/>
      <w:ind w:left="0" w:leftChars="0"/>
    </w:pPr>
    <w:rPr>
      <w:rFonts w:ascii="Calibri" w:hAnsi="Calibri" w:eastAsia="宋体" w:cs="Times New Roman"/>
    </w:r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link w:val="25"/>
    <w:qFormat/>
    <w:uiPriority w:val="0"/>
    <w:pPr>
      <w:spacing w:line="600" w:lineRule="exact"/>
      <w:jc w:val="center"/>
    </w:pPr>
    <w:rPr>
      <w:rFonts w:ascii="Cambria" w:hAnsi="Cambria" w:eastAsia="方正小标宋简体"/>
      <w:bCs/>
      <w:sz w:val="44"/>
      <w:szCs w:val="3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basedOn w:val="21"/>
    <w:qFormat/>
    <w:uiPriority w:val="0"/>
  </w:style>
  <w:style w:type="character" w:styleId="24">
    <w:name w:val="Hyperlink"/>
    <w:basedOn w:val="21"/>
    <w:qFormat/>
    <w:uiPriority w:val="0"/>
    <w:rPr>
      <w:color w:val="0000FF"/>
      <w:u w:val="single"/>
    </w:rPr>
  </w:style>
  <w:style w:type="character" w:customStyle="1" w:styleId="25">
    <w:name w:val="标题 Char"/>
    <w:basedOn w:val="21"/>
    <w:link w:val="18"/>
    <w:qFormat/>
    <w:uiPriority w:val="0"/>
    <w:rPr>
      <w:rFonts w:ascii="Cambria" w:hAnsi="Cambria" w:eastAsia="方正小标宋简体"/>
      <w:bCs/>
      <w:kern w:val="2"/>
      <w:sz w:val="44"/>
      <w:szCs w:val="32"/>
      <w:lang w:val="en-US" w:eastAsia="zh-CN" w:bidi="ar-SA"/>
    </w:rPr>
  </w:style>
  <w:style w:type="paragraph" w:customStyle="1" w:styleId="26">
    <w:name w:val="正文首行缩进1"/>
    <w:next w:val="16"/>
    <w:qFormat/>
    <w:uiPriority w:val="0"/>
    <w:pPr>
      <w:widowControl w:val="0"/>
      <w:spacing w:line="588" w:lineRule="exact"/>
      <w:ind w:firstLine="200" w:firstLineChars="200"/>
      <w:jc w:val="both"/>
    </w:pPr>
    <w:rPr>
      <w:rFonts w:ascii="Calibri" w:hAnsi="Calibri" w:eastAsia="宋体" w:cs="Times New Roman"/>
      <w:kern w:val="2"/>
      <w:sz w:val="21"/>
      <w:szCs w:val="24"/>
      <w:lang w:val="en-US" w:eastAsia="zh-CN"/>
    </w:rPr>
  </w:style>
  <w:style w:type="character" w:customStyle="1" w:styleId="27">
    <w:name w:val="font81"/>
    <w:basedOn w:val="21"/>
    <w:qFormat/>
    <w:uiPriority w:val="0"/>
    <w:rPr>
      <w:rFonts w:hint="eastAsia" w:ascii="黑体" w:hAnsi="宋体" w:eastAsia="黑体" w:cs="黑体"/>
      <w:color w:val="000000"/>
      <w:sz w:val="28"/>
      <w:szCs w:val="28"/>
      <w:u w:val="none"/>
    </w:rPr>
  </w:style>
  <w:style w:type="character" w:customStyle="1" w:styleId="28">
    <w:name w:val="font41"/>
    <w:basedOn w:val="21"/>
    <w:qFormat/>
    <w:uiPriority w:val="0"/>
    <w:rPr>
      <w:rFonts w:hint="eastAsia" w:ascii="黑体" w:hAnsi="宋体" w:eastAsia="黑体" w:cs="黑体"/>
      <w:color w:val="000000"/>
      <w:sz w:val="24"/>
      <w:szCs w:val="24"/>
      <w:u w:val="none"/>
    </w:rPr>
  </w:style>
  <w:style w:type="character" w:customStyle="1" w:styleId="29">
    <w:name w:val="font91"/>
    <w:basedOn w:val="21"/>
    <w:qFormat/>
    <w:uiPriority w:val="0"/>
    <w:rPr>
      <w:rFonts w:hint="eastAsia" w:ascii="黑体" w:hAnsi="宋体" w:eastAsia="黑体" w:cs="黑体"/>
      <w:color w:val="000000"/>
      <w:sz w:val="28"/>
      <w:szCs w:val="28"/>
      <w:u w:val="none"/>
    </w:rPr>
  </w:style>
  <w:style w:type="character" w:customStyle="1" w:styleId="30">
    <w:name w:val="text-selectable"/>
    <w:basedOn w:val="21"/>
    <w:qFormat/>
    <w:uiPriority w:val="0"/>
  </w:style>
  <w:style w:type="character" w:customStyle="1" w:styleId="31">
    <w:name w:val="NormalCharacter"/>
    <w:qFormat/>
    <w:uiPriority w:val="0"/>
    <w:rPr>
      <w:rFonts w:eastAsia="仿宋_GB2312"/>
      <w:kern w:val="2"/>
      <w:sz w:val="32"/>
      <w:szCs w:val="24"/>
      <w:lang w:val="en-US" w:eastAsia="zh-CN" w:bidi="ar-SA"/>
    </w:rPr>
  </w:style>
  <w:style w:type="character" w:customStyle="1" w:styleId="32">
    <w:name w:val="apple-converted-space"/>
    <w:basedOn w:val="21"/>
    <w:qFormat/>
    <w:uiPriority w:val="0"/>
  </w:style>
  <w:style w:type="character" w:customStyle="1" w:styleId="33">
    <w:name w:val="无间隔 Char"/>
    <w:basedOn w:val="21"/>
    <w:link w:val="34"/>
    <w:qFormat/>
    <w:uiPriority w:val="0"/>
    <w:rPr>
      <w:kern w:val="2"/>
      <w:sz w:val="21"/>
      <w:szCs w:val="24"/>
      <w:lang w:val="en-US" w:eastAsia="zh-CN" w:bidi="ar-SA"/>
    </w:rPr>
  </w:style>
  <w:style w:type="paragraph" w:styleId="34">
    <w:name w:val="No Spacing"/>
    <w:link w:val="3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font21"/>
    <w:basedOn w:val="21"/>
    <w:qFormat/>
    <w:uiPriority w:val="0"/>
    <w:rPr>
      <w:rFonts w:hint="eastAsia" w:ascii="黑体" w:hAnsi="宋体" w:eastAsia="黑体" w:cs="黑体"/>
      <w:color w:val="000000"/>
      <w:sz w:val="24"/>
      <w:szCs w:val="24"/>
      <w:u w:val="none"/>
    </w:rPr>
  </w:style>
  <w:style w:type="paragraph" w:customStyle="1" w:styleId="36">
    <w:name w:val="列出段落11"/>
    <w:basedOn w:val="1"/>
    <w:qFormat/>
    <w:uiPriority w:val="34"/>
    <w:pPr>
      <w:ind w:firstLine="420" w:firstLineChars="200"/>
    </w:pPr>
    <w:rPr>
      <w:rFonts w:ascii="Times New Roman" w:hAnsi="Times New Roman"/>
      <w:szCs w:val="24"/>
    </w:rPr>
  </w:style>
  <w:style w:type="paragraph" w:styleId="37">
    <w:name w:val="List Paragraph"/>
    <w:basedOn w:val="1"/>
    <w:qFormat/>
    <w:uiPriority w:val="34"/>
    <w:pPr>
      <w:ind w:firstLine="420" w:firstLineChars="200"/>
    </w:pPr>
  </w:style>
  <w:style w:type="paragraph" w:customStyle="1" w:styleId="38">
    <w:name w:val="p0"/>
    <w:basedOn w:val="1"/>
    <w:qFormat/>
    <w:uiPriority w:val="0"/>
    <w:pPr>
      <w:widowControl/>
    </w:pPr>
    <w:rPr>
      <w:rFonts w:ascii="Calibri" w:hAnsi="Calibri" w:cs="宋体"/>
      <w:kern w:val="0"/>
      <w:szCs w:val="21"/>
    </w:rPr>
  </w:style>
  <w:style w:type="paragraph" w:customStyle="1" w:styleId="39">
    <w:name w:val="Heading2"/>
    <w:basedOn w:val="1"/>
    <w:next w:val="1"/>
    <w:qFormat/>
    <w:uiPriority w:val="0"/>
    <w:pPr>
      <w:keepNext/>
      <w:keepLines/>
      <w:spacing w:before="260" w:after="260" w:line="416" w:lineRule="auto"/>
      <w:jc w:val="both"/>
      <w:textAlignment w:val="baseline"/>
    </w:pPr>
    <w:rPr>
      <w:rFonts w:ascii="Cambria" w:hAnsi="Cambria" w:eastAsia="宋体" w:cs="Times New Roman"/>
      <w:b/>
      <w:bCs/>
      <w:kern w:val="2"/>
      <w:sz w:val="32"/>
      <w:szCs w:val="32"/>
      <w:lang w:val="en-US" w:eastAsia="zh-CN" w:bidi="ar-SA"/>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Default"/>
    <w:unhideWhenUsed/>
    <w:qFormat/>
    <w:uiPriority w:val="99"/>
    <w:pPr>
      <w:widowControl w:val="0"/>
      <w:autoSpaceDE w:val="0"/>
      <w:autoSpaceDN w:val="0"/>
      <w:adjustRightInd w:val="0"/>
    </w:pPr>
    <w:rPr>
      <w:rFonts w:hint="eastAsia" w:ascii="Arial Unicode MS" w:hAnsi="Arial Unicode MS" w:eastAsia="Arial Unicode MS" w:cs="Times New Roman"/>
      <w:color w:val="000000"/>
      <w:sz w:val="24"/>
      <w:szCs w:val="22"/>
      <w:lang w:val="en-US" w:eastAsia="zh-CN" w:bidi="ar-SA"/>
    </w:rPr>
  </w:style>
  <w:style w:type="paragraph" w:customStyle="1" w:styleId="42">
    <w:name w:val="0正文"/>
    <w:basedOn w:val="1"/>
    <w:qFormat/>
    <w:uiPriority w:val="0"/>
    <w:pPr>
      <w:adjustRightInd w:val="0"/>
      <w:snapToGrid w:val="0"/>
      <w:spacing w:line="360" w:lineRule="auto"/>
      <w:ind w:firstLine="480" w:firstLineChars="200"/>
    </w:pPr>
  </w:style>
  <w:style w:type="character" w:customStyle="1" w:styleId="43">
    <w:name w:val="font11"/>
    <w:basedOn w:val="21"/>
    <w:qFormat/>
    <w:uiPriority w:val="0"/>
    <w:rPr>
      <w:rFonts w:hint="eastAsia" w:ascii="黑体" w:hAnsi="宋体" w:eastAsia="黑体" w:cs="黑体"/>
      <w:color w:val="000000"/>
      <w:sz w:val="28"/>
      <w:szCs w:val="28"/>
      <w:u w:val="none"/>
    </w:rPr>
  </w:style>
  <w:style w:type="character" w:customStyle="1" w:styleId="44">
    <w:name w:val="font31"/>
    <w:basedOn w:val="21"/>
    <w:qFormat/>
    <w:uiPriority w:val="0"/>
    <w:rPr>
      <w:rFonts w:hint="eastAsia" w:ascii="黑体" w:hAnsi="宋体" w:eastAsia="黑体" w:cs="黑体"/>
      <w:color w:val="000000"/>
      <w:sz w:val="24"/>
      <w:szCs w:val="24"/>
      <w:u w:val="none"/>
    </w:rPr>
  </w:style>
  <w:style w:type="character" w:customStyle="1" w:styleId="45">
    <w:name w:val="font101"/>
    <w:basedOn w:val="21"/>
    <w:qFormat/>
    <w:uiPriority w:val="0"/>
    <w:rPr>
      <w:rFonts w:hint="eastAsia" w:ascii="黑体" w:hAnsi="宋体" w:eastAsia="黑体" w:cs="黑体"/>
      <w:color w:val="000000"/>
      <w:sz w:val="28"/>
      <w:szCs w:val="28"/>
      <w:u w:val="none"/>
    </w:rPr>
  </w:style>
  <w:style w:type="character" w:customStyle="1" w:styleId="46">
    <w:name w:val="font61"/>
    <w:basedOn w:val="21"/>
    <w:qFormat/>
    <w:uiPriority w:val="0"/>
    <w:rPr>
      <w:rFonts w:hint="eastAsia" w:ascii="黑体" w:hAnsi="宋体" w:eastAsia="黑体" w:cs="黑体"/>
      <w:color w:val="000000"/>
      <w:sz w:val="28"/>
      <w:szCs w:val="28"/>
      <w:u w:val="none"/>
    </w:rPr>
  </w:style>
  <w:style w:type="character" w:customStyle="1" w:styleId="47">
    <w:name w:val="font71"/>
    <w:basedOn w:val="21"/>
    <w:qFormat/>
    <w:uiPriority w:val="0"/>
    <w:rPr>
      <w:rFonts w:hint="eastAsia" w:ascii="黑体" w:hAnsi="宋体" w:eastAsia="黑体" w:cs="黑体"/>
      <w:color w:val="000000"/>
      <w:sz w:val="28"/>
      <w:szCs w:val="28"/>
      <w:u w:val="none"/>
    </w:rPr>
  </w:style>
  <w:style w:type="table" w:customStyle="1" w:styleId="48">
    <w:name w:val="Table Normal"/>
    <w:semiHidden/>
    <w:unhideWhenUsed/>
    <w:qFormat/>
    <w:uiPriority w:val="0"/>
    <w:tblPr>
      <w:tblCellMar>
        <w:top w:w="0" w:type="dxa"/>
        <w:left w:w="0" w:type="dxa"/>
        <w:bottom w:w="0" w:type="dxa"/>
        <w:right w:w="0" w:type="dxa"/>
      </w:tblCellMar>
    </w:tblPr>
  </w:style>
  <w:style w:type="paragraph" w:customStyle="1" w:styleId="49">
    <w:name w:val="Body text|1"/>
    <w:basedOn w:val="1"/>
    <w:qFormat/>
    <w:uiPriority w:val="0"/>
    <w:pPr>
      <w:spacing w:line="389" w:lineRule="auto"/>
      <w:ind w:firstLine="400"/>
    </w:pPr>
    <w:rPr>
      <w:rFonts w:ascii="宋体" w:hAnsi="宋体" w:eastAsia="宋体" w:cs="宋体"/>
      <w:sz w:val="30"/>
      <w:szCs w:val="30"/>
      <w:lang w:val="zh-TW" w:eastAsia="zh-TW" w:bidi="zh-TW"/>
    </w:rPr>
  </w:style>
  <w:style w:type="paragraph" w:customStyle="1" w:styleId="50">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szljsjdj</Company>
  <Pages>10</Pages>
  <Words>449</Words>
  <Characters>473</Characters>
  <Lines>11</Lines>
  <Paragraphs>3</Paragraphs>
  <TotalTime>0</TotalTime>
  <ScaleCrop>false</ScaleCrop>
  <LinksUpToDate>false</LinksUpToDate>
  <CharactersWithSpaces>585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2017-12-13T07:47:00Z</dcterms:created>
  <dc:creator>founder</dc:creator>
  <cp:lastModifiedBy>高天宇</cp:lastModifiedBy>
  <cp:lastPrinted>2025-07-14T09:07:00Z</cp:lastPrinted>
  <dcterms:modified xsi:type="dcterms:W3CDTF">2025-09-29T10:44:37Z</dcterms:modified>
  <dc:title>绥质技监函〔2004〕××号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1002D35AE4D1441194DE0481903B1BD1_13</vt:lpwstr>
  </property>
  <property fmtid="{D5CDD505-2E9C-101B-9397-08002B2CF9AE}" pid="4" name="KSOTemplateDocerSaveRecord">
    <vt:lpwstr>eyJoZGlkIjoiZTAzZWZhNjcwYmVjN2MyZTNkOTRkOTQ4NWI1NTMwODkiLCJ1c2VySWQiOiIzMjk0MzE2NjQifQ==</vt:lpwstr>
  </property>
</Properties>
</file>