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1</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秸秆禁烧与综合利用建设项目表</w:t>
      </w:r>
    </w:p>
    <w:tbl>
      <w:tblPr>
        <w:tblStyle w:val="7"/>
        <w:tblW w:w="140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3045"/>
        <w:gridCol w:w="5535"/>
        <w:gridCol w:w="1890"/>
        <w:gridCol w:w="2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304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55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65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1"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1</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收储点的秸秆收储体系建立</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lang w:eastAsia="zh-CN"/>
              </w:rPr>
            </w:pPr>
            <w:r>
              <w:rPr>
                <w:rFonts w:hint="eastAsia" w:ascii="仿宋" w:hAnsi="仿宋" w:eastAsia="仿宋" w:cs="仿宋"/>
                <w:sz w:val="30"/>
                <w:szCs w:val="30"/>
              </w:rPr>
              <w:t>完善秸秆收储体系，构建并完善秸秆收储体系</w:t>
            </w:r>
            <w:r>
              <w:rPr>
                <w:rFonts w:hint="eastAsia" w:ascii="仿宋" w:hAnsi="仿宋" w:eastAsia="仿宋" w:cs="仿宋"/>
                <w:sz w:val="30"/>
                <w:szCs w:val="30"/>
                <w:lang w:eastAsia="zh-CN"/>
              </w:rPr>
              <w:t>。</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2023</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0"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2</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秸秆替代散煤工程</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通过改为生物质、电、天然气和鼓励农村住户冬季进城等方式完成散煤替代改造。</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2025</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40"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秸秆管控能力建设</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通过“蓝天卫士”工程建设，搭建秸秆禁烧监管系统，安装热成像/可见光双模摄像头，建设监测存储平台、视频分析平台和应用管控平台，精确定位火点位置，及时发布告警信息，存储现场取证视频，高效支撑现场处置，全面实现“技防”管理。</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2023</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市生态环境局</w:t>
            </w:r>
          </w:p>
        </w:tc>
      </w:tr>
    </w:tbl>
    <w:p>
      <w:pPr>
        <w:jc w:val="both"/>
        <w:rPr>
          <w:rFonts w:ascii="Times New Roman" w:hAnsi="Times New Roman" w:cs="Times New Roman"/>
          <w:b/>
          <w:sz w:val="24"/>
          <w:szCs w:val="24"/>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2</w:t>
      </w:r>
    </w:p>
    <w:p>
      <w:pPr>
        <w:jc w:val="center"/>
        <w:rPr>
          <w:rFonts w:hint="eastAsia" w:ascii="Times New Roman" w:hAnsi="Times New Roman" w:cs="Times New Roman"/>
          <w:b/>
          <w:sz w:val="24"/>
          <w:szCs w:val="24"/>
        </w:rPr>
      </w:pPr>
    </w:p>
    <w:p>
      <w:pPr>
        <w:jc w:val="center"/>
        <w:rPr>
          <w:rFonts w:hint="eastAsia" w:ascii="Times New Roman" w:hAnsi="Times New Roman" w:cs="Times New Roman"/>
          <w:b/>
          <w:sz w:val="24"/>
          <w:szCs w:val="24"/>
        </w:rPr>
      </w:pP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燃煤污染治理工程项目表</w:t>
      </w:r>
    </w:p>
    <w:tbl>
      <w:tblPr>
        <w:tblStyle w:val="7"/>
        <w:tblW w:w="140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2305"/>
        <w:gridCol w:w="6170"/>
        <w:gridCol w:w="1995"/>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937"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30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17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99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实施年限（年）</w:t>
            </w:r>
          </w:p>
        </w:tc>
        <w:tc>
          <w:tcPr>
            <w:tcW w:w="264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jc w:val="center"/>
        </w:trPr>
        <w:tc>
          <w:tcPr>
            <w:tcW w:w="937"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1</w:t>
            </w:r>
          </w:p>
        </w:tc>
        <w:tc>
          <w:tcPr>
            <w:tcW w:w="2305" w:type="dxa"/>
            <w:vAlign w:val="center"/>
          </w:tcPr>
          <w:p>
            <w:pPr>
              <w:keepNext w:val="0"/>
              <w:keepLines w:val="0"/>
              <w:pageBreakBefore w:val="0"/>
              <w:widowControl/>
              <w:kinsoku/>
              <w:wordWrap/>
              <w:overflowPunct/>
              <w:topLinePunct w:val="0"/>
              <w:autoSpaceDE/>
              <w:autoSpaceDN/>
              <w:bidi w:val="0"/>
              <w:adjustRightInd/>
              <w:spacing w:line="400" w:lineRule="exact"/>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65吨及以上燃煤锅炉超低排放改造</w:t>
            </w:r>
          </w:p>
        </w:tc>
        <w:tc>
          <w:tcPr>
            <w:tcW w:w="6170" w:type="dxa"/>
            <w:vAlign w:val="center"/>
          </w:tcPr>
          <w:p>
            <w:pPr>
              <w:keepNext w:val="0"/>
              <w:keepLines w:val="0"/>
              <w:pageBreakBefore w:val="0"/>
              <w:widowControl/>
              <w:kinsoku/>
              <w:wordWrap/>
              <w:overflowPunct/>
              <w:topLinePunct w:val="0"/>
              <w:autoSpaceDE/>
              <w:autoSpaceDN/>
              <w:bidi w:val="0"/>
              <w:adjustRightInd/>
              <w:spacing w:line="400" w:lineRule="exact"/>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对建成区内</w:t>
            </w:r>
            <w:r>
              <w:rPr>
                <w:rFonts w:hint="eastAsia" w:ascii="仿宋_GB2312" w:hAnsi="仿宋_GB2312" w:eastAsia="仿宋_GB2312" w:cs="仿宋_GB2312"/>
                <w:sz w:val="30"/>
                <w:szCs w:val="30"/>
                <w:lang w:eastAsia="zh-CN"/>
              </w:rPr>
              <w:t>在用</w:t>
            </w:r>
            <w:r>
              <w:rPr>
                <w:rFonts w:hint="eastAsia" w:ascii="仿宋_GB2312" w:hAnsi="仿宋_GB2312" w:eastAsia="仿宋_GB2312" w:cs="仿宋_GB2312"/>
                <w:sz w:val="30"/>
                <w:szCs w:val="30"/>
              </w:rPr>
              <w:t>65吨燃煤锅炉进行脱硫、脱销、除尘提标改造，实现超低排放。</w:t>
            </w:r>
          </w:p>
        </w:tc>
        <w:tc>
          <w:tcPr>
            <w:tcW w:w="199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2025</w:t>
            </w:r>
          </w:p>
        </w:tc>
        <w:tc>
          <w:tcPr>
            <w:tcW w:w="264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0" w:hRule="atLeast"/>
          <w:jc w:val="center"/>
        </w:trPr>
        <w:tc>
          <w:tcPr>
            <w:tcW w:w="937"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2</w:t>
            </w:r>
          </w:p>
        </w:tc>
        <w:tc>
          <w:tcPr>
            <w:tcW w:w="2305" w:type="dxa"/>
            <w:vAlign w:val="center"/>
          </w:tcPr>
          <w:p>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粮食烘干燃煤设施清洁能源改造项目</w:t>
            </w:r>
          </w:p>
        </w:tc>
        <w:tc>
          <w:tcPr>
            <w:tcW w:w="6170" w:type="dxa"/>
            <w:vAlign w:val="center"/>
          </w:tcPr>
          <w:p>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lang w:eastAsia="zh-CN"/>
              </w:rPr>
              <w:t>推进</w:t>
            </w:r>
            <w:r>
              <w:rPr>
                <w:rFonts w:hint="eastAsia" w:ascii="仿宋_GB2312" w:hAnsi="仿宋_GB2312" w:eastAsia="仿宋_GB2312" w:cs="仿宋_GB2312"/>
                <w:sz w:val="30"/>
                <w:szCs w:val="30"/>
              </w:rPr>
              <w:t>粮食烘干燃煤设施</w:t>
            </w:r>
            <w:r>
              <w:rPr>
                <w:rFonts w:hint="eastAsia" w:ascii="仿宋_GB2312" w:hAnsi="仿宋_GB2312" w:eastAsia="仿宋_GB2312" w:cs="仿宋_GB2312"/>
                <w:sz w:val="30"/>
                <w:szCs w:val="30"/>
                <w:lang w:eastAsia="zh-CN"/>
              </w:rPr>
              <w:t>进行</w:t>
            </w:r>
            <w:r>
              <w:rPr>
                <w:rFonts w:hint="eastAsia" w:ascii="仿宋_GB2312" w:hAnsi="仿宋_GB2312" w:eastAsia="仿宋_GB2312" w:cs="仿宋_GB2312"/>
                <w:sz w:val="30"/>
                <w:szCs w:val="30"/>
              </w:rPr>
              <w:t xml:space="preserve">清洁能源改造。 </w:t>
            </w:r>
          </w:p>
        </w:tc>
        <w:tc>
          <w:tcPr>
            <w:tcW w:w="1995"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2023</w:t>
            </w:r>
          </w:p>
        </w:tc>
        <w:tc>
          <w:tcPr>
            <w:tcW w:w="2640"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市生态环境局</w:t>
            </w:r>
          </w:p>
        </w:tc>
      </w:tr>
    </w:tbl>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移动源污染防治建设项目表</w:t>
      </w:r>
    </w:p>
    <w:tbl>
      <w:tblPr>
        <w:tblStyle w:val="7"/>
        <w:tblW w:w="140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2588"/>
        <w:gridCol w:w="6292"/>
        <w:gridCol w:w="1875"/>
        <w:gridCol w:w="2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58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29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0"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1</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机动车I/M站体系建设</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建立1个机动车监测维修示范站，建立1个机动车监测维修信息共享平台，推动I/M管理制度的落地，实现车辆检验环节与维修环节的数据共享，落实在用机动车的全流程管理。</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市生态环境局、市交通</w:t>
            </w:r>
            <w:r>
              <w:rPr>
                <w:rFonts w:hint="eastAsia" w:ascii="仿宋_GB2312" w:hAnsi="仿宋_GB2312" w:eastAsia="仿宋_GB2312" w:cs="仿宋_GB2312"/>
                <w:b w:val="0"/>
                <w:bCs/>
                <w:sz w:val="30"/>
                <w:szCs w:val="30"/>
                <w:lang w:eastAsia="zh-CN"/>
              </w:rPr>
              <w:t>运输</w:t>
            </w:r>
            <w:r>
              <w:rPr>
                <w:rFonts w:hint="eastAsia" w:ascii="仿宋_GB2312" w:hAnsi="仿宋_GB2312" w:eastAsia="仿宋_GB2312" w:cs="仿宋_GB2312"/>
                <w:b w:val="0"/>
                <w:bCs/>
                <w:sz w:val="30"/>
                <w:szCs w:val="30"/>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5"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非道路移动机械远程监控安装示范工程</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选取建成区200台非道路移动机械安装污染物排放远程监控系统，实时获取机械颗粒物、NOx排放强度及机械位置信息、身份信息，并基于上述信息客观评价区域非道路移动机械污染排放对城市大气环境污染的分担状况。</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3</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重点车辆污染物排放监管能力建设示范工程</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lang w:val="en-US" w:eastAsia="zh-CN"/>
              </w:rPr>
            </w:pPr>
            <w:r>
              <w:rPr>
                <w:rFonts w:hint="eastAsia" w:ascii="仿宋_GB2312" w:hAnsi="仿宋_GB2312" w:eastAsia="仿宋_GB2312" w:cs="仿宋_GB2312"/>
                <w:b w:val="0"/>
                <w:bCs/>
                <w:sz w:val="30"/>
                <w:szCs w:val="30"/>
              </w:rPr>
              <w:t>通过OBD系统对重点排放柴油货车建立远程监控体系，实时接收试点车辆的基本信息、排放数据与行驶轨迹信息，筛选区域内1000辆柴油货车建立远程管控体系</w:t>
            </w:r>
            <w:r>
              <w:rPr>
                <w:rFonts w:hint="eastAsia" w:ascii="仿宋_GB2312" w:hAnsi="仿宋_GB2312" w:eastAsia="仿宋_GB2312" w:cs="仿宋_GB2312"/>
                <w:b w:val="0"/>
                <w:bCs/>
                <w:sz w:val="30"/>
                <w:szCs w:val="30"/>
                <w:lang w:eastAsia="zh-CN"/>
              </w:rPr>
              <w:t>。</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市交通</w:t>
            </w:r>
            <w:r>
              <w:rPr>
                <w:rFonts w:hint="eastAsia" w:ascii="仿宋_GB2312" w:hAnsi="仿宋_GB2312" w:eastAsia="仿宋_GB2312" w:cs="仿宋_GB2312"/>
                <w:b w:val="0"/>
                <w:bCs/>
                <w:sz w:val="30"/>
                <w:szCs w:val="30"/>
                <w:lang w:eastAsia="zh-CN"/>
              </w:rPr>
              <w:t>运输</w:t>
            </w:r>
            <w:r>
              <w:rPr>
                <w:rFonts w:hint="eastAsia" w:ascii="仿宋_GB2312" w:hAnsi="仿宋_GB2312" w:eastAsia="仿宋_GB2312" w:cs="仿宋_GB2312"/>
                <w:b w:val="0"/>
                <w:bCs/>
                <w:sz w:val="30"/>
                <w:szCs w:val="30"/>
              </w:rPr>
              <w:t>局</w:t>
            </w:r>
          </w:p>
        </w:tc>
      </w:tr>
    </w:tbl>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4</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VOCs治理建设项目表</w:t>
      </w:r>
    </w:p>
    <w:tbl>
      <w:tblPr>
        <w:tblStyle w:val="7"/>
        <w:tblW w:w="140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70"/>
        <w:gridCol w:w="7380"/>
        <w:gridCol w:w="1830"/>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6" w:hRule="atLeast"/>
          <w:jc w:val="center"/>
        </w:trPr>
        <w:tc>
          <w:tcPr>
            <w:tcW w:w="100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177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738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05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100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lang w:eastAsia="zh-CN"/>
              </w:rPr>
            </w:pPr>
            <w:r>
              <w:rPr>
                <w:rFonts w:hint="eastAsia" w:ascii="仿宋_GB2312" w:hAnsi="仿宋_GB2312" w:eastAsia="仿宋_GB2312" w:cs="仿宋_GB2312"/>
                <w:b w:val="0"/>
                <w:bCs/>
                <w:sz w:val="30"/>
                <w:szCs w:val="30"/>
                <w:lang w:val="en-US" w:eastAsia="zh-CN"/>
              </w:rPr>
              <w:t>1</w:t>
            </w:r>
          </w:p>
        </w:tc>
        <w:tc>
          <w:tcPr>
            <w:tcW w:w="1770"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VOCs工业企业治理升级改造</w:t>
            </w:r>
          </w:p>
        </w:tc>
        <w:tc>
          <w:tcPr>
            <w:tcW w:w="7380"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针对石化与化工医药、印刷印染、酒精制造等VOCs排放量大的主要企业开展VOCs“源头—过程—末端”治理，实施源头替代，从源头替代、污染深度治理和全过程精细化管理等方面进行深化治理。</w:t>
            </w:r>
          </w:p>
        </w:tc>
        <w:tc>
          <w:tcPr>
            <w:tcW w:w="18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2023</w:t>
            </w:r>
          </w:p>
        </w:tc>
        <w:tc>
          <w:tcPr>
            <w:tcW w:w="2058"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bl>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5</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大气环境监管信息化建设项目表</w:t>
      </w:r>
    </w:p>
    <w:tbl>
      <w:tblPr>
        <w:tblStyle w:val="7"/>
        <w:tblW w:w="14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2133"/>
        <w:gridCol w:w="6853"/>
        <w:gridCol w:w="1935"/>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9"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133"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853"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111"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9"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1</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大气环境监测网络建设</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完善市级环境空气质量自动监测子站，增设边界站和颗粒物组分监测设备。</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7"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大气环境科研能力建设</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制定区域环境准入负面清单。开展区域颗粒物来源解析、臭氧污染形成机理、常规污染物与温室气体系统减排、大气环境容量等环境问题研究。</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50"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3</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重污染天气应对工作年度评估及应急减排清单调查更新</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对区域上一年度的重污染天气应对工作进行评估，评估应急预案实施情况、应急措施环境效果和应急成本，以及预案内容的完整性、预案规定的详实性、响应措施的针对性和可操作性。根据评估情况。对应急减排清单进行更新，提升重污染天气应对精细化和信息化水平，有效应对重污染天气。</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bl>
    <w:p>
      <w:pPr>
        <w:keepNext w:val="0"/>
        <w:keepLines w:val="0"/>
        <w:pageBreakBefore w:val="0"/>
        <w:widowControl w:val="0"/>
        <w:numPr>
          <w:ilvl w:val="0"/>
          <w:numId w:val="0"/>
        </w:numPr>
        <w:kinsoku/>
        <w:wordWrap/>
        <w:overflowPunct/>
        <w:autoSpaceDN/>
        <w:bidi w:val="0"/>
        <w:adjustRightInd/>
        <w:spacing w:line="600" w:lineRule="exact"/>
        <w:textAlignment w:val="auto"/>
        <w:rPr>
          <w:rFonts w:hint="default" w:ascii="仿宋" w:hAnsi="仿宋" w:eastAsia="仿宋" w:cs="仿宋"/>
          <w:sz w:val="10"/>
          <w:szCs w:val="10"/>
          <w:lang w:val="en-US" w:eastAsia="zh-CN"/>
        </w:rPr>
      </w:pPr>
      <w:bookmarkStart w:id="0" w:name="_GoBack"/>
      <w:bookmarkEnd w:id="0"/>
    </w:p>
    <w:sectPr>
      <w:footerReference r:id="rId3" w:type="default"/>
      <w:pgSz w:w="16838" w:h="11906" w:orient="landscape"/>
      <w:pgMar w:top="1800" w:right="1440" w:bottom="1800" w:left="144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w:t>
    </w:r>
    <w:r>
      <w:t xml:space="preserve"> 18 -</w:t>
    </w:r>
    <w:r>
      <w:rPr>
        <w:lang w:val="zh-CN"/>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86360"/>
    <w:multiLevelType w:val="multilevel"/>
    <w:tmpl w:val="20186360"/>
    <w:lvl w:ilvl="0" w:tentative="0">
      <w:start w:val="1"/>
      <w:numFmt w:val="chineseCountingThousand"/>
      <w:pStyle w:val="2"/>
      <w:lvlText w:val="%1"/>
      <w:lvlJc w:val="left"/>
      <w:pPr>
        <w:ind w:left="0" w:firstLine="0"/>
      </w:pPr>
      <w:rPr>
        <w:rFonts w:hint="eastAsia"/>
      </w:rPr>
    </w:lvl>
    <w:lvl w:ilvl="1" w:tentative="0">
      <w:start w:val="1"/>
      <w:numFmt w:val="chineseCountingThousand"/>
      <w:pStyle w:val="3"/>
      <w:lvlText w:val="（%2）"/>
      <w:lvlJc w:val="left"/>
      <w:pPr>
        <w:ind w:left="1702"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 w:val="16"/>
        <w:szCs w:val="16"/>
        <w:u w:val="none" w:color="000000"/>
      </w:rPr>
    </w:lvl>
    <w:lvl w:ilvl="2" w:tentative="0">
      <w:start w:val="1"/>
      <w:numFmt w:val="decimal"/>
      <w:pStyle w:val="4"/>
      <w:lvlText w:val="%3"/>
      <w:lvlJc w:val="left"/>
      <w:pPr>
        <w:ind w:left="284" w:firstLine="0"/>
      </w:pPr>
      <w:rPr>
        <w:rFonts w:hint="eastAsia"/>
      </w:rPr>
    </w:lvl>
    <w:lvl w:ilvl="3" w:tentative="0">
      <w:start w:val="1"/>
      <w:numFmt w:val="decimal"/>
      <w:suff w:val="space"/>
      <w:lvlText w:val="%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1MmY0YmM4OGFiMzNjZmFiZjVjYTNjYjZhMTE3YjAifQ=="/>
  </w:docVars>
  <w:rsids>
    <w:rsidRoot w:val="436024E0"/>
    <w:rsid w:val="0E3B67B6"/>
    <w:rsid w:val="0F0F61FF"/>
    <w:rsid w:val="0FBB0700"/>
    <w:rsid w:val="1FCB4794"/>
    <w:rsid w:val="25746FA1"/>
    <w:rsid w:val="436024E0"/>
    <w:rsid w:val="443E746D"/>
    <w:rsid w:val="470D4F7F"/>
    <w:rsid w:val="55E25DA1"/>
    <w:rsid w:val="6EE95756"/>
    <w:rsid w:val="7A013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numPr>
        <w:ilvl w:val="0"/>
        <w:numId w:val="1"/>
      </w:numPr>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9"/>
    <w:pPr>
      <w:keepNext/>
      <w:keepLines/>
      <w:numPr>
        <w:ilvl w:val="1"/>
        <w:numId w:val="1"/>
      </w:numPr>
      <w:spacing w:before="260" w:after="260" w:line="415" w:lineRule="auto"/>
      <w:outlineLvl w:val="1"/>
    </w:pPr>
    <w:rPr>
      <w:rFonts w:ascii="等线 Light" w:hAnsi="等线 Light" w:eastAsia="楷体"/>
      <w:b/>
      <w:bCs/>
      <w:sz w:val="32"/>
      <w:szCs w:val="32"/>
    </w:rPr>
  </w:style>
  <w:style w:type="paragraph" w:styleId="4">
    <w:name w:val="heading 3"/>
    <w:basedOn w:val="1"/>
    <w:next w:val="1"/>
    <w:unhideWhenUsed/>
    <w:qFormat/>
    <w:uiPriority w:val="9"/>
    <w:pPr>
      <w:keepNext/>
      <w:keepLines/>
      <w:numPr>
        <w:ilvl w:val="2"/>
        <w:numId w:val="1"/>
      </w:numPr>
      <w:spacing w:before="260" w:after="260" w:line="416" w:lineRule="auto"/>
      <w:outlineLvl w:val="2"/>
    </w:pPr>
    <w:rPr>
      <w:b/>
      <w:bCs/>
      <w:sz w:val="32"/>
      <w:szCs w:val="32"/>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5">
    <w:name w:val="footer"/>
    <w:basedOn w:val="1"/>
    <w:unhideWhenUsed/>
    <w:qFormat/>
    <w:uiPriority w:val="99"/>
    <w:pPr>
      <w:tabs>
        <w:tab w:val="center" w:pos="4153"/>
        <w:tab w:val="right" w:pos="8306"/>
      </w:tabs>
      <w:snapToGrid w:val="0"/>
      <w:jc w:val="left"/>
    </w:pPr>
    <w:rPr>
      <w:sz w:val="18"/>
      <w:szCs w:val="18"/>
    </w:rPr>
  </w:style>
  <w:style w:type="table" w:styleId="7">
    <w:name w:val="Table Grid"/>
    <w:basedOn w:val="6"/>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9">
    <w:name w:val="正文1"/>
    <w:basedOn w:val="1"/>
    <w:qFormat/>
    <w:uiPriority w:val="0"/>
    <w:pPr>
      <w:ind w:firstLine="200" w:firstLineChars="200"/>
    </w:pPr>
    <w:rPr>
      <w:rFonts w:ascii="Times New Roman" w:hAnsi="Times New Roman" w:eastAsia="宋体"/>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11712</Words>
  <Characters>12760</Characters>
  <Lines>0</Lines>
  <Paragraphs>0</Paragraphs>
  <TotalTime>10</TotalTime>
  <ScaleCrop>false</ScaleCrop>
  <LinksUpToDate>false</LinksUpToDate>
  <CharactersWithSpaces>12903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2023-01-19T00:16:00Z</dcterms:created>
  <dc:creator>金大龙</dc:creator>
  <cp:lastModifiedBy>平静的海洋</cp:lastModifiedBy>
  <dcterms:modified xsi:type="dcterms:W3CDTF">2023-02-07T01:02:01Z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23182332C8F840EE9D35C9364142E81F</vt:lpwstr>
  </property>
</Properties>
</file>